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17BA" w:rsidR="00B93CA4" w:rsidP="00FF17BA" w:rsidRDefault="002F3F6C" w14:paraId="26F4249B" w14:textId="033A06D7">
      <w:pPr>
        <w:jc w:val="center"/>
        <w:rPr>
          <w:sz w:val="18"/>
          <w:szCs w:val="18"/>
          <w:lang w:val="es-ES"/>
        </w:rPr>
      </w:pPr>
      <w:r w:rsidRPr="000D70B7">
        <w:rPr>
          <w:sz w:val="18"/>
          <w:szCs w:val="18"/>
          <w:lang w:val="es-ES"/>
        </w:rPr>
        <w:t>Minuta</w:t>
      </w:r>
      <w:r w:rsidR="006E12E3">
        <w:rPr>
          <w:sz w:val="18"/>
          <w:szCs w:val="18"/>
          <w:lang w:val="es-ES"/>
        </w:rPr>
        <w:t xml:space="preserve"> CIPYT</w:t>
      </w:r>
      <w:r w:rsidRPr="000D70B7">
        <w:rPr>
          <w:sz w:val="18"/>
          <w:szCs w:val="18"/>
          <w:lang w:val="es-ES"/>
        </w:rPr>
        <w:t>/</w:t>
      </w:r>
      <w:r w:rsidR="00156230">
        <w:rPr>
          <w:sz w:val="18"/>
          <w:szCs w:val="18"/>
          <w:lang w:val="es-ES"/>
        </w:rPr>
        <w:t>20</w:t>
      </w:r>
      <w:r w:rsidRPr="000D70B7">
        <w:rPr>
          <w:sz w:val="18"/>
          <w:szCs w:val="18"/>
          <w:lang w:val="es-ES"/>
        </w:rPr>
        <w:t>.</w:t>
      </w:r>
      <w:r w:rsidR="00156230">
        <w:rPr>
          <w:sz w:val="18"/>
          <w:szCs w:val="18"/>
          <w:lang w:val="es-ES"/>
        </w:rPr>
        <w:t>02</w:t>
      </w:r>
      <w:r w:rsidRPr="000D70B7">
        <w:rPr>
          <w:sz w:val="18"/>
          <w:szCs w:val="18"/>
          <w:lang w:val="es-ES"/>
        </w:rPr>
        <w:t>.</w:t>
      </w:r>
      <w:r w:rsidR="00156230">
        <w:rPr>
          <w:sz w:val="18"/>
          <w:szCs w:val="18"/>
          <w:lang w:val="es-ES"/>
        </w:rPr>
        <w:t>24</w:t>
      </w:r>
      <w:r w:rsidRPr="000D70B7">
        <w:rPr>
          <w:sz w:val="18"/>
          <w:szCs w:val="18"/>
          <w:lang w:val="es-ES"/>
        </w:rPr>
        <w:t>/</w:t>
      </w:r>
      <w:r w:rsidR="00156230">
        <w:rPr>
          <w:sz w:val="18"/>
          <w:szCs w:val="18"/>
          <w:lang w:val="es-ES"/>
        </w:rPr>
        <w:t>OHS-ALN-GRN</w:t>
      </w:r>
    </w:p>
    <w:p w:rsidRPr="00FF17BA" w:rsidR="00772115" w:rsidP="00FF17BA" w:rsidRDefault="00CC2C91" w14:paraId="7F2D1C9B" w14:textId="0B295F3A">
      <w:pPr>
        <w:pBdr>
          <w:bottom w:val="single" w:color="auto" w:sz="6" w:space="1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RE</w:t>
      </w:r>
      <w:r w:rsidR="007F2590">
        <w:rPr>
          <w:b/>
          <w:bCs/>
          <w:lang w:val="es-ES"/>
        </w:rPr>
        <w:t>UNIÓN CONTRAPARTES SAIP – MEDIDA 129 ENIP</w:t>
      </w:r>
    </w:p>
    <w:p w:rsidRPr="001D3067" w:rsidR="00772115" w:rsidP="00FF17BA" w:rsidRDefault="00A438A2" w14:paraId="00AF5F66" w14:textId="7C1DA444">
      <w:pPr>
        <w:pStyle w:val="Ttulo1"/>
        <w:spacing w:before="120"/>
        <w:ind w:left="0" w:firstLine="0"/>
      </w:pPr>
      <w:r>
        <w:t xml:space="preserve">Metodología </w:t>
      </w:r>
    </w:p>
    <w:p w:rsidR="00A438A2" w:rsidP="00FF17BA" w:rsidRDefault="00A438A2" w14:paraId="1FEB08AA" w14:textId="6E298339">
      <w:pPr>
        <w:rPr>
          <w:lang w:val="es-ES"/>
        </w:rPr>
      </w:pPr>
      <w:r w:rsidRPr="41945847">
        <w:rPr>
          <w:lang w:val="es-ES"/>
        </w:rPr>
        <w:t xml:space="preserve">Los días 5 y 6 de febrero se llevaron a cabo </w:t>
      </w:r>
      <w:r w:rsidRPr="41945847" w:rsidR="00CF6870">
        <w:rPr>
          <w:lang w:val="es-ES"/>
        </w:rPr>
        <w:t xml:space="preserve">2 </w:t>
      </w:r>
      <w:proofErr w:type="spellStart"/>
      <w:r w:rsidRPr="41945847" w:rsidR="00CF6870">
        <w:rPr>
          <w:lang w:val="es-ES"/>
        </w:rPr>
        <w:t>focus</w:t>
      </w:r>
      <w:proofErr w:type="spellEnd"/>
      <w:r w:rsidRPr="41945847">
        <w:rPr>
          <w:i/>
          <w:iCs/>
          <w:lang w:val="es-ES"/>
        </w:rPr>
        <w:t xml:space="preserve"> </w:t>
      </w:r>
      <w:proofErr w:type="spellStart"/>
      <w:r w:rsidRPr="41945847">
        <w:rPr>
          <w:i/>
          <w:iCs/>
          <w:lang w:val="es-ES"/>
        </w:rPr>
        <w:t>group</w:t>
      </w:r>
      <w:proofErr w:type="spellEnd"/>
      <w:r w:rsidRPr="41945847">
        <w:rPr>
          <w:i/>
          <w:iCs/>
          <w:lang w:val="es-ES"/>
        </w:rPr>
        <w:t xml:space="preserve"> </w:t>
      </w:r>
      <w:r w:rsidRPr="41945847">
        <w:rPr>
          <w:lang w:val="es-ES"/>
        </w:rPr>
        <w:t xml:space="preserve">con encargados de </w:t>
      </w:r>
      <w:r w:rsidRPr="41945847" w:rsidR="05A8E1A3">
        <w:rPr>
          <w:lang w:val="es-ES"/>
        </w:rPr>
        <w:t>transparencia pasiva</w:t>
      </w:r>
      <w:r w:rsidRPr="41945847">
        <w:rPr>
          <w:lang w:val="es-ES"/>
        </w:rPr>
        <w:t xml:space="preserve"> de distintos servicios que contaban con un flujo superior a 1500 </w:t>
      </w:r>
      <w:r w:rsidRPr="41945847" w:rsidR="3EE37E35">
        <w:rPr>
          <w:lang w:val="es-ES"/>
        </w:rPr>
        <w:t>SAIP al año</w:t>
      </w:r>
      <w:r w:rsidRPr="41945847">
        <w:rPr>
          <w:lang w:val="es-ES"/>
        </w:rPr>
        <w:t xml:space="preserve">. Los servicios participantes fueron: </w:t>
      </w:r>
    </w:p>
    <w:tbl>
      <w:tblPr>
        <w:tblW w:w="88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Pr="00A438A2" w:rsidR="00A438A2" w:rsidTr="00A438A2" w14:paraId="180DDC81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C91" w:rsidR="00A438A2" w:rsidP="00A438A2" w:rsidRDefault="00A438A2" w14:paraId="0CF6DEA5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lang w:eastAsia="es-CL"/>
              </w:rPr>
            </w:pPr>
            <w:r w:rsidRPr="00CC2C91">
              <w:rPr>
                <w:rFonts w:eastAsia="Times New Roman" w:cs="Arial"/>
                <w:b/>
                <w:bCs/>
                <w:lang w:val="es-MX" w:eastAsia="es-CL"/>
              </w:rPr>
              <w:t>Lunes 5</w:t>
            </w:r>
            <w:r w:rsidRPr="00CC2C91">
              <w:rPr>
                <w:rFonts w:eastAsia="Times New Roman" w:cs="Arial"/>
                <w:b/>
                <w:bCs/>
                <w:lang w:eastAsia="es-CL"/>
              </w:rPr>
              <w:t>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C91" w:rsidR="00A438A2" w:rsidP="00A438A2" w:rsidRDefault="00A438A2" w14:paraId="75C81656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lang w:eastAsia="es-CL"/>
              </w:rPr>
            </w:pPr>
            <w:r w:rsidRPr="00CC2C91">
              <w:rPr>
                <w:rFonts w:eastAsia="Times New Roman" w:cs="Arial"/>
                <w:b/>
                <w:bCs/>
                <w:lang w:val="es-MX" w:eastAsia="es-CL"/>
              </w:rPr>
              <w:t>Martes 6</w:t>
            </w:r>
            <w:r w:rsidRPr="00CC2C91">
              <w:rPr>
                <w:rFonts w:eastAsia="Times New Roman" w:cs="Arial"/>
                <w:b/>
                <w:bCs/>
                <w:lang w:eastAsia="es-CL"/>
              </w:rPr>
              <w:t> </w:t>
            </w:r>
          </w:p>
        </w:tc>
      </w:tr>
      <w:tr w:rsidRPr="00A438A2" w:rsidR="00A438A2" w:rsidTr="00A438A2" w14:paraId="64236F55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C91" w:rsidR="00A438A2" w:rsidP="00A438A2" w:rsidRDefault="00A438A2" w14:paraId="66D0ECB2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CC2C91">
              <w:rPr>
                <w:rFonts w:eastAsia="Times New Roman" w:cs="Arial"/>
                <w:lang w:val="es-MX" w:eastAsia="es-CL"/>
              </w:rPr>
              <w:t>Subsecretaria de Interior</w:t>
            </w:r>
            <w:r w:rsidRPr="00CC2C91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C91" w:rsidR="00A438A2" w:rsidP="00A438A2" w:rsidRDefault="00A438A2" w14:paraId="78154C77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CC2C91">
              <w:rPr>
                <w:rFonts w:eastAsia="Times New Roman" w:cs="Arial"/>
                <w:lang w:val="es-MX" w:eastAsia="es-CL"/>
              </w:rPr>
              <w:t>Gendarmería de Chile</w:t>
            </w:r>
            <w:r w:rsidRPr="00CC2C91">
              <w:rPr>
                <w:rFonts w:eastAsia="Times New Roman" w:cs="Arial"/>
                <w:lang w:eastAsia="es-CL"/>
              </w:rPr>
              <w:t> </w:t>
            </w:r>
          </w:p>
        </w:tc>
      </w:tr>
      <w:tr w:rsidRPr="00A438A2" w:rsidR="00A438A2" w:rsidTr="00A438A2" w14:paraId="3FE7CEFB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3E7304B1" w14:textId="55C0A7C5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val="es-MX" w:eastAsia="es-CL"/>
              </w:rPr>
              <w:t>Corporación Nacional de Desarrollo Indígena</w:t>
            </w:r>
            <w:r w:rsidRPr="00A438A2">
              <w:rPr>
                <w:rFonts w:eastAsia="Times New Roman" w:cs="Arial"/>
                <w:lang w:eastAsia="es-CL"/>
              </w:rPr>
              <w:t> </w:t>
            </w:r>
            <w:r>
              <w:rPr>
                <w:rFonts w:eastAsia="Times New Roman" w:cs="Arial"/>
                <w:lang w:eastAsia="es-CL"/>
              </w:rPr>
              <w:t>(CONADI)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5D87DAF5" w14:textId="0371EC6A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val="es-MX" w:eastAsia="es-CL"/>
              </w:rPr>
              <w:t>Dirección General de Concesiones</w:t>
            </w:r>
            <w:r w:rsidRPr="00A438A2">
              <w:rPr>
                <w:rFonts w:eastAsia="Times New Roman" w:cs="Arial"/>
                <w:lang w:eastAsia="es-CL"/>
              </w:rPr>
              <w:t> </w:t>
            </w:r>
            <w:r>
              <w:rPr>
                <w:rFonts w:eastAsia="Times New Roman" w:cs="Arial"/>
                <w:lang w:eastAsia="es-CL"/>
              </w:rPr>
              <w:t>(DGC)</w:t>
            </w:r>
          </w:p>
        </w:tc>
      </w:tr>
      <w:tr w:rsidRPr="00A438A2" w:rsidR="00A438A2" w:rsidTr="00A438A2" w14:paraId="743F8AAA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3AFC5531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val="es-MX" w:eastAsia="es-CL"/>
              </w:rPr>
              <w:t>Subsecretaria de Bienes Nacionales</w:t>
            </w:r>
            <w:r w:rsidRPr="00A438A2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7D5D02C0" w14:textId="46E5AD2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val="es-MX" w:eastAsia="es-CL"/>
              </w:rPr>
              <w:t>Servicio Agrícola y Ganadero</w:t>
            </w:r>
            <w:r w:rsidRPr="00A438A2">
              <w:rPr>
                <w:rFonts w:eastAsia="Times New Roman" w:cs="Arial"/>
                <w:lang w:eastAsia="es-CL"/>
              </w:rPr>
              <w:t> </w:t>
            </w:r>
            <w:r>
              <w:rPr>
                <w:rFonts w:eastAsia="Times New Roman" w:cs="Arial"/>
                <w:lang w:eastAsia="es-CL"/>
              </w:rPr>
              <w:t>(SAG)</w:t>
            </w:r>
          </w:p>
        </w:tc>
      </w:tr>
      <w:tr w:rsidRPr="00A438A2" w:rsidR="00A438A2" w:rsidTr="00A438A2" w14:paraId="51ADDC03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44B792F8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518E0DA2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val="es-MX" w:eastAsia="es-CL"/>
              </w:rPr>
              <w:t>Subsecretaría de Medio Ambiente</w:t>
            </w:r>
            <w:r w:rsidRPr="00A438A2">
              <w:rPr>
                <w:rFonts w:eastAsia="Times New Roman" w:cs="Arial"/>
                <w:lang w:eastAsia="es-CL"/>
              </w:rPr>
              <w:t> </w:t>
            </w:r>
          </w:p>
        </w:tc>
      </w:tr>
      <w:tr w:rsidRPr="00A438A2" w:rsidR="00A438A2" w:rsidTr="00A438A2" w14:paraId="5FC57A57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15DE48F7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38A2" w:rsidR="00A438A2" w:rsidP="00A438A2" w:rsidRDefault="00A438A2" w14:paraId="0BA1F876" w14:textId="77777777">
            <w:pPr>
              <w:spacing w:before="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s-CL"/>
              </w:rPr>
            </w:pPr>
            <w:r w:rsidRPr="00A438A2">
              <w:rPr>
                <w:rFonts w:eastAsia="Times New Roman" w:cs="Arial"/>
                <w:lang w:val="es-MX" w:eastAsia="es-CL"/>
              </w:rPr>
              <w:t>Subsecretaria de Transporte</w:t>
            </w:r>
            <w:r w:rsidRPr="00A438A2">
              <w:rPr>
                <w:rFonts w:eastAsia="Times New Roman" w:cs="Arial"/>
                <w:lang w:eastAsia="es-CL"/>
              </w:rPr>
              <w:t> </w:t>
            </w:r>
          </w:p>
        </w:tc>
      </w:tr>
    </w:tbl>
    <w:p w:rsidR="00A438A2" w:rsidP="00FF17BA" w:rsidRDefault="00A438A2" w14:paraId="30A2FE7E" w14:textId="4CCF501A">
      <w:pPr>
        <w:rPr>
          <w:lang w:val="es-ES"/>
        </w:rPr>
      </w:pPr>
      <w:r w:rsidRPr="41945847">
        <w:rPr>
          <w:lang w:val="es-ES"/>
        </w:rPr>
        <w:t xml:space="preserve">En ambos </w:t>
      </w:r>
      <w:proofErr w:type="spellStart"/>
      <w:r w:rsidRPr="41945847">
        <w:rPr>
          <w:i/>
          <w:iCs/>
          <w:lang w:val="es-ES"/>
        </w:rPr>
        <w:t>focus</w:t>
      </w:r>
      <w:proofErr w:type="spellEnd"/>
      <w:r w:rsidRPr="41945847">
        <w:rPr>
          <w:i/>
          <w:iCs/>
          <w:lang w:val="es-ES"/>
        </w:rPr>
        <w:t xml:space="preserve"> </w:t>
      </w:r>
      <w:proofErr w:type="spellStart"/>
      <w:r w:rsidRPr="41945847">
        <w:rPr>
          <w:i/>
          <w:iCs/>
          <w:lang w:val="es-ES"/>
        </w:rPr>
        <w:t>group</w:t>
      </w:r>
      <w:proofErr w:type="spellEnd"/>
      <w:r w:rsidRPr="41945847">
        <w:rPr>
          <w:lang w:val="es-ES"/>
        </w:rPr>
        <w:t xml:space="preserve"> se buscó reconocer los procesos internos para responder las solicitudes recibidas, los facilitadores y obstaculizadores que tienen al momento de realizar estas labores. </w:t>
      </w:r>
      <w:r w:rsidRPr="41945847" w:rsidR="7DFC1231">
        <w:rPr>
          <w:lang w:val="es-ES"/>
        </w:rPr>
        <w:t>En este contexto</w:t>
      </w:r>
      <w:r w:rsidRPr="41945847">
        <w:rPr>
          <w:lang w:val="es-ES"/>
        </w:rPr>
        <w:t xml:space="preserve"> se destaca lo siguiente:</w:t>
      </w:r>
    </w:p>
    <w:p w:rsidR="002F3F6C" w:rsidP="00A438A2" w:rsidRDefault="00A438A2" w14:paraId="6F24A6EB" w14:textId="6A3436D0">
      <w:pPr>
        <w:pStyle w:val="Ttulo1"/>
      </w:pPr>
      <w:r>
        <w:t>Principales hallazgos</w:t>
      </w:r>
    </w:p>
    <w:p w:rsidR="00A438A2" w:rsidP="00313FB8" w:rsidRDefault="00313FB8" w14:paraId="409C9F93" w14:textId="3D9CC857">
      <w:pPr>
        <w:pStyle w:val="Ttulo2"/>
        <w:rPr>
          <w:lang w:val="es-ES"/>
        </w:rPr>
      </w:pPr>
      <w:r>
        <w:rPr>
          <w:lang w:val="es-ES"/>
        </w:rPr>
        <w:t>Percepción general del proceso</w:t>
      </w:r>
    </w:p>
    <w:p w:rsidR="00313FB8" w:rsidP="00313FB8" w:rsidRDefault="00313FB8" w14:paraId="1FD66A2C" w14:textId="3930D850">
      <w:pPr>
        <w:rPr>
          <w:lang w:val="es-ES"/>
        </w:rPr>
      </w:pPr>
      <w:r w:rsidRPr="41945847">
        <w:rPr>
          <w:lang w:val="es-ES"/>
        </w:rPr>
        <w:t>En general, se percibe que para responder a las SAIP los procesos son disímiles dependiendo de la institución y de la naturaleza de</w:t>
      </w:r>
      <w:r w:rsidRPr="41945847" w:rsidR="69AF223C">
        <w:rPr>
          <w:lang w:val="es-ES"/>
        </w:rPr>
        <w:t>l requerimiento</w:t>
      </w:r>
      <w:r w:rsidRPr="41945847">
        <w:rPr>
          <w:lang w:val="es-ES"/>
        </w:rPr>
        <w:t>. Existen procesos más complejos</w:t>
      </w:r>
      <w:r w:rsidRPr="41945847" w:rsidR="267410D1">
        <w:rPr>
          <w:lang w:val="es-ES"/>
        </w:rPr>
        <w:t xml:space="preserve">, debido a la necesidad de </w:t>
      </w:r>
      <w:r w:rsidRPr="41945847">
        <w:rPr>
          <w:lang w:val="es-ES"/>
        </w:rPr>
        <w:t>recolec</w:t>
      </w:r>
      <w:r w:rsidRPr="41945847" w:rsidR="554A8F7B">
        <w:rPr>
          <w:lang w:val="es-ES"/>
        </w:rPr>
        <w:t>t</w:t>
      </w:r>
      <w:r w:rsidRPr="41945847">
        <w:rPr>
          <w:lang w:val="es-ES"/>
        </w:rPr>
        <w:t>a</w:t>
      </w:r>
      <w:r w:rsidRPr="41945847" w:rsidR="554A8F7B">
        <w:rPr>
          <w:lang w:val="es-ES"/>
        </w:rPr>
        <w:t>r</w:t>
      </w:r>
      <w:r w:rsidRPr="41945847">
        <w:rPr>
          <w:lang w:val="es-ES"/>
        </w:rPr>
        <w:t xml:space="preserve"> información, </w:t>
      </w:r>
      <w:r w:rsidRPr="41945847" w:rsidR="3E8C897F">
        <w:rPr>
          <w:lang w:val="es-ES"/>
        </w:rPr>
        <w:t xml:space="preserve">a </w:t>
      </w:r>
      <w:r w:rsidRPr="41945847">
        <w:rPr>
          <w:lang w:val="es-ES"/>
        </w:rPr>
        <w:t>la digitalización de los documentos, la censura de datos p</w:t>
      </w:r>
      <w:r w:rsidRPr="41945847" w:rsidR="1AFF8FB6">
        <w:rPr>
          <w:lang w:val="es-ES"/>
        </w:rPr>
        <w:t>ersonale</w:t>
      </w:r>
      <w:r w:rsidRPr="41945847">
        <w:rPr>
          <w:lang w:val="es-ES"/>
        </w:rPr>
        <w:t>s</w:t>
      </w:r>
      <w:r w:rsidRPr="41945847" w:rsidR="7EA20A7E">
        <w:rPr>
          <w:lang w:val="es-ES"/>
        </w:rPr>
        <w:t xml:space="preserve"> y/o sensibles</w:t>
      </w:r>
      <w:r w:rsidRPr="41945847">
        <w:rPr>
          <w:lang w:val="es-ES"/>
        </w:rPr>
        <w:t>, la gestión interna de organización, entre otros</w:t>
      </w:r>
      <w:r w:rsidRPr="41945847" w:rsidR="5BB125DF">
        <w:rPr>
          <w:lang w:val="es-ES"/>
        </w:rPr>
        <w:t xml:space="preserve"> factores</w:t>
      </w:r>
      <w:r w:rsidRPr="41945847">
        <w:rPr>
          <w:lang w:val="es-ES"/>
        </w:rPr>
        <w:t>.</w:t>
      </w:r>
    </w:p>
    <w:p w:rsidR="00313FB8" w:rsidP="00313FB8" w:rsidRDefault="00313FB8" w14:paraId="74A3ABC4" w14:textId="298AC785">
      <w:pPr>
        <w:rPr>
          <w:lang w:val="es-ES"/>
        </w:rPr>
      </w:pPr>
      <w:r>
        <w:rPr>
          <w:lang w:val="es-ES"/>
        </w:rPr>
        <w:t>Es un proceso que puede ralentizarse cuando no existe responsables específicos para dar respuesta o cuando las plataformas de gestión de información, tanto interna o la referida a la plataforma de transparencia, no funcionan de manera adecuada. Aun así, se da cuenta de varios hitos de los procesos internos que ayudan a mejorar la gestión</w:t>
      </w:r>
      <w:r w:rsidR="008E1D2D">
        <w:rPr>
          <w:lang w:val="es-ES"/>
        </w:rPr>
        <w:t>.</w:t>
      </w:r>
    </w:p>
    <w:p w:rsidR="008E1D2D" w:rsidP="008E1D2D" w:rsidRDefault="008E1D2D" w14:paraId="5A4E5399" w14:textId="6FB75867">
      <w:pPr>
        <w:pStyle w:val="Ttulo3"/>
      </w:pPr>
      <w:r>
        <w:t>Buenas prácticas de los procesos internos</w:t>
      </w:r>
    </w:p>
    <w:p w:rsidR="008E1D2D" w:rsidP="41945847" w:rsidRDefault="008E1D2D" w14:paraId="7B306253" w14:textId="66BC940E">
      <w:pPr>
        <w:rPr>
          <w:lang w:val="es-ES"/>
        </w:rPr>
      </w:pPr>
      <w:r w:rsidRPr="41945847">
        <w:rPr>
          <w:lang w:val="es-ES"/>
        </w:rPr>
        <w:t>Algunas buenas prácticas que identifican los participantes</w:t>
      </w:r>
      <w:r w:rsidRPr="41945847" w:rsidR="1A560B11">
        <w:rPr>
          <w:lang w:val="es-ES"/>
        </w:rPr>
        <w:t>, internamente y dependiendo de la naturaleza de la solicitud,</w:t>
      </w:r>
      <w:r w:rsidRPr="41945847">
        <w:rPr>
          <w:lang w:val="es-ES"/>
        </w:rPr>
        <w:t xml:space="preserve"> </w:t>
      </w:r>
      <w:r w:rsidRPr="41945847" w:rsidR="5E592262">
        <w:rPr>
          <w:lang w:val="es-ES"/>
        </w:rPr>
        <w:t>son</w:t>
      </w:r>
      <w:r w:rsidRPr="41945847">
        <w:rPr>
          <w:lang w:val="es-ES"/>
        </w:rPr>
        <w:t>:</w:t>
      </w:r>
    </w:p>
    <w:p w:rsidRPr="008E1D2D" w:rsidR="008E1D2D" w:rsidP="008E1D2D" w:rsidRDefault="008E1D2D" w14:paraId="140EC216" w14:textId="292E04A6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Exist</w:t>
      </w:r>
      <w:r w:rsidRPr="41945847" w:rsidR="6E8E286A">
        <w:rPr>
          <w:lang w:val="es-ES"/>
        </w:rPr>
        <w:t>encia de</w:t>
      </w:r>
      <w:r w:rsidRPr="41945847">
        <w:rPr>
          <w:lang w:val="es-ES"/>
        </w:rPr>
        <w:t xml:space="preserve"> contrapartes encargadas/</w:t>
      </w:r>
      <w:r w:rsidRPr="41945847" w:rsidR="56AC52F1">
        <w:rPr>
          <w:lang w:val="es-ES"/>
        </w:rPr>
        <w:t>e</w:t>
      </w:r>
      <w:r w:rsidRPr="41945847">
        <w:rPr>
          <w:lang w:val="es-ES"/>
        </w:rPr>
        <w:t xml:space="preserve">xpertos internos de cada SAIP, </w:t>
      </w:r>
      <w:r w:rsidRPr="41945847" w:rsidR="58047AAC">
        <w:rPr>
          <w:lang w:val="es-ES"/>
        </w:rPr>
        <w:t xml:space="preserve">quien será responsable de </w:t>
      </w:r>
      <w:r w:rsidRPr="41945847">
        <w:rPr>
          <w:lang w:val="es-ES"/>
        </w:rPr>
        <w:t>responder a la solicitud</w:t>
      </w:r>
      <w:r w:rsidRPr="41945847" w:rsidR="0F7A3342">
        <w:rPr>
          <w:lang w:val="es-ES"/>
        </w:rPr>
        <w:t xml:space="preserve"> en cuestión</w:t>
      </w:r>
      <w:r w:rsidRPr="41945847">
        <w:rPr>
          <w:lang w:val="es-ES"/>
        </w:rPr>
        <w:t xml:space="preserve">. Estas contrapartes institucionales son canalizadas por el/la/los encargado/a/os de SAIP, para luego dar </w:t>
      </w:r>
      <w:r w:rsidRPr="41945847" w:rsidR="14E26F79">
        <w:rPr>
          <w:lang w:val="es-ES"/>
        </w:rPr>
        <w:t xml:space="preserve">una </w:t>
      </w:r>
      <w:r w:rsidRPr="41945847">
        <w:rPr>
          <w:lang w:val="es-ES"/>
        </w:rPr>
        <w:t>respuesta formal por parte de la división legal y del jefe de servicio.</w:t>
      </w:r>
    </w:p>
    <w:p w:rsidR="008E1D2D" w:rsidP="008E1D2D" w:rsidRDefault="5969B8EC" w14:paraId="15388C0E" w14:textId="3C4511D3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Existencia de un flujo</w:t>
      </w:r>
      <w:r w:rsidRPr="41945847" w:rsidR="008E1D2D">
        <w:rPr>
          <w:lang w:val="es-ES"/>
        </w:rPr>
        <w:t xml:space="preserve"> de proceso o </w:t>
      </w:r>
      <w:r w:rsidRPr="41945847" w:rsidR="401ED1CF">
        <w:rPr>
          <w:lang w:val="es-ES"/>
        </w:rPr>
        <w:t>m</w:t>
      </w:r>
      <w:r w:rsidRPr="41945847" w:rsidR="008E1D2D">
        <w:rPr>
          <w:lang w:val="es-ES"/>
        </w:rPr>
        <w:t>anual en el que se detallan los pasos a segui</w:t>
      </w:r>
      <w:r w:rsidRPr="41945847" w:rsidR="38BC2B85">
        <w:rPr>
          <w:lang w:val="es-ES"/>
        </w:rPr>
        <w:t>r. Se destaca la elaboración de un documento</w:t>
      </w:r>
      <w:r w:rsidRPr="41945847" w:rsidR="008E1D2D">
        <w:rPr>
          <w:lang w:val="es-ES"/>
        </w:rPr>
        <w:t xml:space="preserve"> </w:t>
      </w:r>
      <w:r w:rsidRPr="41945847" w:rsidR="02A1B2C7">
        <w:rPr>
          <w:lang w:val="es-ES"/>
        </w:rPr>
        <w:t>que contenga</w:t>
      </w:r>
      <w:r w:rsidRPr="41945847" w:rsidR="008E1D2D">
        <w:rPr>
          <w:lang w:val="es-ES"/>
        </w:rPr>
        <w:t xml:space="preserve"> información general y otros para información más específica y compleja de obtener y responder.</w:t>
      </w:r>
    </w:p>
    <w:p w:rsidRPr="008E1D2D" w:rsidR="008E1D2D" w:rsidP="008E1D2D" w:rsidRDefault="008E1D2D" w14:paraId="0418CDC0" w14:textId="1EF5AC4C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lastRenderedPageBreak/>
        <w:t>Delegación de firma</w:t>
      </w:r>
      <w:r w:rsidRPr="41945847" w:rsidR="70FA7A52">
        <w:rPr>
          <w:lang w:val="es-ES"/>
        </w:rPr>
        <w:t xml:space="preserve"> del/la jefe/a de servicio en la unidad legal y otra, que permita dar una respuesta expedita a las SAIP.</w:t>
      </w:r>
    </w:p>
    <w:p w:rsidRPr="008E1D2D" w:rsidR="008E1D2D" w:rsidP="008E1D2D" w:rsidRDefault="008E1D2D" w14:paraId="7D9818F9" w14:textId="6A8C90A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Contar con un s</w:t>
      </w:r>
      <w:r w:rsidRPr="008E1D2D">
        <w:rPr>
          <w:lang w:val="es-ES"/>
        </w:rPr>
        <w:t xml:space="preserve">istema de gestión documental interna </w:t>
      </w:r>
      <w:r>
        <w:rPr>
          <w:lang w:val="es-ES"/>
        </w:rPr>
        <w:t xml:space="preserve">(plataforma, software o herramienta tecnológica) </w:t>
      </w:r>
      <w:r w:rsidRPr="008E1D2D">
        <w:rPr>
          <w:lang w:val="es-ES"/>
        </w:rPr>
        <w:t>para mejorar la respuesta a las SAIP de manera tener clara los documentos, plazos y encargados de responder.</w:t>
      </w:r>
    </w:p>
    <w:p w:rsidRPr="00CC2C91" w:rsidR="008E1D2D" w:rsidP="008E1D2D" w:rsidRDefault="008E1D2D" w14:paraId="6715D98F" w14:textId="0FE1E9CB">
      <w:pPr>
        <w:pStyle w:val="Prrafodelista"/>
        <w:numPr>
          <w:ilvl w:val="0"/>
          <w:numId w:val="5"/>
        </w:numPr>
        <w:rPr>
          <w:lang w:val="es-ES"/>
        </w:rPr>
      </w:pPr>
      <w:r w:rsidRPr="008E1D2D">
        <w:rPr>
          <w:lang w:val="es-ES"/>
        </w:rPr>
        <w:t>Concentrar todas las solicitudes que ingresan (por la plataforma de lobby, por SIAC, mediante oficio, etc.)</w:t>
      </w:r>
      <w:r>
        <w:rPr>
          <w:lang w:val="es-ES"/>
        </w:rPr>
        <w:t>.</w:t>
      </w:r>
    </w:p>
    <w:p w:rsidR="008E1D2D" w:rsidP="008E1D2D" w:rsidRDefault="008E1D2D" w14:paraId="51B4C5DF" w14:textId="33E0C486">
      <w:pPr>
        <w:pStyle w:val="Ttulo2"/>
        <w:rPr>
          <w:lang w:val="es-ES"/>
        </w:rPr>
      </w:pPr>
      <w:r>
        <w:rPr>
          <w:lang w:val="es-ES"/>
        </w:rPr>
        <w:t>Facilitadores y obstaculizadores</w:t>
      </w:r>
    </w:p>
    <w:p w:rsidR="008E1D2D" w:rsidP="008E1D2D" w:rsidRDefault="008E1D2D" w14:paraId="7DC6CB4A" w14:textId="697DFE84">
      <w:pPr>
        <w:rPr>
          <w:lang w:val="es-ES"/>
        </w:rPr>
      </w:pPr>
      <w:r>
        <w:rPr>
          <w:lang w:val="es-ES"/>
        </w:rPr>
        <w:t>Al consultar por factores que facilitan u obstaculizan el flujo de información, los participantes reconocen los siguientes:</w:t>
      </w:r>
    </w:p>
    <w:p w:rsidR="008E1D2D" w:rsidP="008E1D2D" w:rsidRDefault="008E1D2D" w14:paraId="2D8E3823" w14:textId="3EAEB43B">
      <w:pPr>
        <w:pStyle w:val="Ttulo3"/>
      </w:pPr>
      <w:r>
        <w:t>Facilitadores</w:t>
      </w:r>
    </w:p>
    <w:p w:rsidRPr="008E1D2D" w:rsidR="008E1D2D" w:rsidP="008E1D2D" w:rsidRDefault="008E1D2D" w14:paraId="46B409B1" w14:textId="349DB7D4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 xml:space="preserve">Algunos servicios destacan para el correcto cumplimiento contar con un Programa de Mejoramiento de Gestión (PMG) o un Compromiso de Gestión Institucional (CDC) </w:t>
      </w:r>
      <w:r w:rsidRPr="41945847" w:rsidR="56B3834F">
        <w:rPr>
          <w:lang w:val="es-ES"/>
        </w:rPr>
        <w:t xml:space="preserve">ya que ambos </w:t>
      </w:r>
      <w:r w:rsidRPr="41945847">
        <w:rPr>
          <w:lang w:val="es-ES"/>
        </w:rPr>
        <w:t>permite</w:t>
      </w:r>
      <w:r w:rsidRPr="41945847" w:rsidR="4A2A55AD">
        <w:rPr>
          <w:lang w:val="es-ES"/>
        </w:rPr>
        <w:t>n</w:t>
      </w:r>
      <w:r w:rsidRPr="41945847">
        <w:rPr>
          <w:lang w:val="es-ES"/>
        </w:rPr>
        <w:t xml:space="preserve"> generar una cultura de cumplimiento. Esto </w:t>
      </w:r>
      <w:r w:rsidRPr="41945847" w:rsidR="2783C769">
        <w:rPr>
          <w:lang w:val="es-ES"/>
        </w:rPr>
        <w:t>funciona como incentivo</w:t>
      </w:r>
      <w:r w:rsidRPr="41945847">
        <w:rPr>
          <w:lang w:val="es-ES"/>
        </w:rPr>
        <w:t xml:space="preserve"> para que la respuesta cumpla con los criterios para entregar un servicio eficiente y de calidad.</w:t>
      </w:r>
    </w:p>
    <w:p w:rsidRPr="008E1D2D" w:rsidR="008E1D2D" w:rsidP="008E1D2D" w:rsidRDefault="008E1D2D" w14:paraId="03E4958F" w14:textId="4B97911D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Contar con una jefatura</w:t>
      </w:r>
      <w:r w:rsidRPr="41945847" w:rsidR="3C6C8C4C">
        <w:rPr>
          <w:lang w:val="es-ES"/>
        </w:rPr>
        <w:t xml:space="preserve"> involucrada en </w:t>
      </w:r>
      <w:r w:rsidRPr="41945847">
        <w:rPr>
          <w:lang w:val="es-ES"/>
        </w:rPr>
        <w:t>el compromiso de respuesta, conlleva a un flujo de respuesta mucho más eficiente</w:t>
      </w:r>
      <w:r w:rsidRPr="41945847" w:rsidR="37A913A1">
        <w:rPr>
          <w:lang w:val="es-ES"/>
        </w:rPr>
        <w:t>.</w:t>
      </w:r>
    </w:p>
    <w:p w:rsidR="239B846C" w:rsidP="41945847" w:rsidRDefault="008E1D2D" w14:paraId="0AEB2109" w14:textId="5D8F04CF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Proceso de delegación de firma relevante para disminuir los tiempos de respuesta</w:t>
      </w:r>
      <w:r w:rsidRPr="41945847" w:rsidR="4EE90518">
        <w:rPr>
          <w:lang w:val="es-ES"/>
        </w:rPr>
        <w:t xml:space="preserve"> y evitar los cuellos de botella en las firmas</w:t>
      </w:r>
      <w:r w:rsidRPr="41945847" w:rsidR="5D9F99F3">
        <w:rPr>
          <w:lang w:val="es-ES"/>
        </w:rPr>
        <w:t>.</w:t>
      </w:r>
    </w:p>
    <w:p w:rsidR="239B846C" w:rsidP="00674F3B" w:rsidRDefault="00674F3B" w14:paraId="11A186F7" w14:textId="3FDAFCAD">
      <w:pPr>
        <w:pStyle w:val="Ttulo3"/>
      </w:pPr>
      <w:r>
        <w:t>Obstaculizadores</w:t>
      </w:r>
    </w:p>
    <w:p w:rsidR="00674F3B" w:rsidP="00674F3B" w:rsidRDefault="00674F3B" w14:paraId="0CD0B949" w14:textId="37E0E9E9">
      <w:pPr>
        <w:rPr>
          <w:lang w:val="es-ES"/>
        </w:rPr>
      </w:pPr>
      <w:r w:rsidRPr="41945847">
        <w:rPr>
          <w:lang w:val="es-ES"/>
        </w:rPr>
        <w:t>Dentro de los principales obstaculizadores se advierten</w:t>
      </w:r>
      <w:r w:rsidRPr="41945847" w:rsidR="00E662D8">
        <w:rPr>
          <w:lang w:val="es-ES"/>
        </w:rPr>
        <w:t xml:space="preserve"> tres temas: Portal de </w:t>
      </w:r>
      <w:r w:rsidRPr="41945847" w:rsidR="1BA0A974">
        <w:rPr>
          <w:lang w:val="es-ES"/>
        </w:rPr>
        <w:t>t</w:t>
      </w:r>
      <w:r w:rsidRPr="41945847" w:rsidR="00E662D8">
        <w:rPr>
          <w:lang w:val="es-ES"/>
        </w:rPr>
        <w:t xml:space="preserve">ransparencia, </w:t>
      </w:r>
      <w:r w:rsidRPr="41945847" w:rsidR="4934E8EF">
        <w:rPr>
          <w:lang w:val="es-ES"/>
        </w:rPr>
        <w:t>f</w:t>
      </w:r>
      <w:r w:rsidRPr="41945847" w:rsidR="00E662D8">
        <w:rPr>
          <w:lang w:val="es-ES"/>
        </w:rPr>
        <w:t>idelización de</w:t>
      </w:r>
      <w:r w:rsidRPr="41945847" w:rsidR="009048FD">
        <w:rPr>
          <w:lang w:val="es-ES"/>
        </w:rPr>
        <w:t xml:space="preserve"> los funcionarios públicos para cumplir con la </w:t>
      </w:r>
      <w:r w:rsidRPr="41945847" w:rsidR="3A281956">
        <w:rPr>
          <w:lang w:val="es-ES"/>
        </w:rPr>
        <w:t>l</w:t>
      </w:r>
      <w:r w:rsidRPr="41945847" w:rsidR="009048FD">
        <w:rPr>
          <w:lang w:val="es-ES"/>
        </w:rPr>
        <w:t xml:space="preserve">ey de </w:t>
      </w:r>
      <w:r w:rsidRPr="41945847" w:rsidR="09AD80F0">
        <w:rPr>
          <w:lang w:val="es-ES"/>
        </w:rPr>
        <w:t>t</w:t>
      </w:r>
      <w:r w:rsidRPr="41945847" w:rsidR="009048FD">
        <w:rPr>
          <w:lang w:val="es-ES"/>
        </w:rPr>
        <w:t>ransparencia</w:t>
      </w:r>
      <w:r w:rsidRPr="41945847" w:rsidR="00A5515D">
        <w:rPr>
          <w:lang w:val="es-ES"/>
        </w:rPr>
        <w:t>, y gestión institucional del trabajo</w:t>
      </w:r>
      <w:r w:rsidRPr="41945847">
        <w:rPr>
          <w:lang w:val="es-ES"/>
        </w:rPr>
        <w:t>:</w:t>
      </w:r>
    </w:p>
    <w:p w:rsidR="00E67ADB" w:rsidP="00674F3B" w:rsidRDefault="00E67ADB" w14:paraId="6FBBA20F" w14:textId="13D8315B">
      <w:pPr>
        <w:rPr>
          <w:lang w:val="es-ES"/>
        </w:rPr>
      </w:pPr>
      <w:proofErr w:type="gramStart"/>
      <w:r>
        <w:rPr>
          <w:lang w:val="es-ES"/>
        </w:rPr>
        <w:t>En relación a</w:t>
      </w:r>
      <w:proofErr w:type="gramEnd"/>
      <w:r>
        <w:rPr>
          <w:lang w:val="es-ES"/>
        </w:rPr>
        <w:t xml:space="preserve"> la primera</w:t>
      </w:r>
      <w:r w:rsidR="00117BA1">
        <w:rPr>
          <w:lang w:val="es-ES"/>
        </w:rPr>
        <w:t>:</w:t>
      </w:r>
    </w:p>
    <w:p w:rsidR="00A8145D" w:rsidP="00A8145D" w:rsidRDefault="00A8145D" w14:paraId="487E0AC4" w14:textId="61CD6AAC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 xml:space="preserve">Portal de </w:t>
      </w:r>
      <w:r w:rsidRPr="41945847" w:rsidR="7AF31C0C">
        <w:rPr>
          <w:lang w:val="es-ES"/>
        </w:rPr>
        <w:t>t</w:t>
      </w:r>
      <w:r w:rsidRPr="41945847">
        <w:rPr>
          <w:lang w:val="es-ES"/>
        </w:rPr>
        <w:t>ransparencia. Este se percibe como un portal poco amigable</w:t>
      </w:r>
      <w:r w:rsidRPr="41945847" w:rsidR="000A1571">
        <w:rPr>
          <w:lang w:val="es-ES"/>
        </w:rPr>
        <w:t>, con poca capacidad de soporte</w:t>
      </w:r>
      <w:r w:rsidRPr="41945847">
        <w:rPr>
          <w:lang w:val="es-ES"/>
        </w:rPr>
        <w:t>. Además, el portal no permite establecer subrogancia (de expertos) cuando exista.</w:t>
      </w:r>
    </w:p>
    <w:p w:rsidR="000A1571" w:rsidP="000A1571" w:rsidRDefault="000A1571" w14:paraId="3D2ABC96" w14:textId="566CE01B">
      <w:pPr>
        <w:pStyle w:val="Prrafodelista"/>
        <w:numPr>
          <w:ilvl w:val="0"/>
          <w:numId w:val="5"/>
        </w:numPr>
        <w:rPr>
          <w:lang w:val="es-ES"/>
        </w:rPr>
      </w:pPr>
      <w:r w:rsidRPr="00A8145D">
        <w:rPr>
          <w:lang w:val="es-ES"/>
        </w:rPr>
        <w:t xml:space="preserve">Carga de documentos para respuesta. Plataforma no permite documentos sobre cierto peso por lo que se envía la documentación de respuesta por plataformas como </w:t>
      </w:r>
      <w:proofErr w:type="spellStart"/>
      <w:r w:rsidRPr="00A8145D">
        <w:rPr>
          <w:lang w:val="es-ES"/>
        </w:rPr>
        <w:t>wetransfer</w:t>
      </w:r>
      <w:proofErr w:type="spellEnd"/>
      <w:r w:rsidRPr="00A8145D">
        <w:rPr>
          <w:lang w:val="es-ES"/>
        </w:rPr>
        <w:t xml:space="preserve">, Dropbox, donde los </w:t>
      </w:r>
      <w:proofErr w:type="gramStart"/>
      <w:r w:rsidRPr="00A8145D">
        <w:rPr>
          <w:lang w:val="es-ES"/>
        </w:rPr>
        <w:t>links</w:t>
      </w:r>
      <w:proofErr w:type="gramEnd"/>
      <w:r w:rsidRPr="00A8145D">
        <w:rPr>
          <w:lang w:val="es-ES"/>
        </w:rPr>
        <w:t xml:space="preserve"> de descargas duran cierto tiempo</w:t>
      </w:r>
      <w:r w:rsidR="006307C5">
        <w:rPr>
          <w:lang w:val="es-ES"/>
        </w:rPr>
        <w:t xml:space="preserve"> determinado. </w:t>
      </w:r>
      <w:r w:rsidR="00BA246C">
        <w:rPr>
          <w:lang w:val="es-ES"/>
        </w:rPr>
        <w:t>Por lo mismo</w:t>
      </w:r>
      <w:r w:rsidRPr="00A8145D">
        <w:rPr>
          <w:lang w:val="es-ES"/>
        </w:rPr>
        <w:t xml:space="preserve"> se hace necesario contar con algún soporte o nube interna que no tenga estos inconvenientes</w:t>
      </w:r>
      <w:r w:rsidR="00711D0A">
        <w:rPr>
          <w:lang w:val="es-ES"/>
        </w:rPr>
        <w:t>.</w:t>
      </w:r>
    </w:p>
    <w:p w:rsidRPr="00711D0A" w:rsidR="00711D0A" w:rsidP="00711D0A" w:rsidRDefault="00711D0A" w14:paraId="1755E0CA" w14:textId="20B915FB">
      <w:pPr>
        <w:pStyle w:val="Prrafodelista"/>
        <w:numPr>
          <w:ilvl w:val="0"/>
          <w:numId w:val="5"/>
        </w:numPr>
        <w:rPr>
          <w:lang w:val="es-ES"/>
        </w:rPr>
      </w:pPr>
      <w:r w:rsidRPr="00A8145D">
        <w:rPr>
          <w:lang w:val="es-ES"/>
        </w:rPr>
        <w:t>No contar con un campo de derivación inmediata.</w:t>
      </w:r>
    </w:p>
    <w:p w:rsidRPr="00A8145D" w:rsidR="00A8145D" w:rsidP="00A8145D" w:rsidRDefault="00A8145D" w14:paraId="266FEC47" w14:textId="77777777">
      <w:pPr>
        <w:pStyle w:val="Prrafodelista"/>
        <w:numPr>
          <w:ilvl w:val="0"/>
          <w:numId w:val="5"/>
        </w:numPr>
        <w:rPr>
          <w:lang w:val="es-ES"/>
        </w:rPr>
      </w:pPr>
      <w:r w:rsidRPr="00A8145D">
        <w:rPr>
          <w:lang w:val="es-ES"/>
        </w:rPr>
        <w:t xml:space="preserve">Proceso de </w:t>
      </w:r>
      <w:proofErr w:type="spellStart"/>
      <w:r w:rsidRPr="00A8145D">
        <w:rPr>
          <w:lang w:val="es-ES"/>
        </w:rPr>
        <w:t>anonimización</w:t>
      </w:r>
      <w:proofErr w:type="spellEnd"/>
      <w:r w:rsidRPr="00A8145D">
        <w:rPr>
          <w:lang w:val="es-ES"/>
        </w:rPr>
        <w:t xml:space="preserve">/censura de datos. La mayoría de las veces se deben tachar de manera manual o uso de software de manera pirata (Adobe). </w:t>
      </w:r>
    </w:p>
    <w:p w:rsidR="00A8145D" w:rsidP="00A8145D" w:rsidRDefault="00A8145D" w14:paraId="2EC828ED" w14:textId="36709EB7">
      <w:pPr>
        <w:pStyle w:val="Prrafodelista"/>
        <w:numPr>
          <w:ilvl w:val="0"/>
          <w:numId w:val="5"/>
        </w:numPr>
        <w:rPr>
          <w:lang w:val="es-ES"/>
        </w:rPr>
      </w:pPr>
      <w:r w:rsidRPr="00A8145D">
        <w:rPr>
          <w:lang w:val="es-ES"/>
        </w:rPr>
        <w:t>Solicitantes recurrentes, solicitudes de misma información en distintas SAIP</w:t>
      </w:r>
      <w:r w:rsidR="00F613F7">
        <w:rPr>
          <w:lang w:val="es-ES"/>
        </w:rPr>
        <w:t xml:space="preserve"> o solicitudes</w:t>
      </w:r>
      <w:r w:rsidRPr="00A8145D">
        <w:rPr>
          <w:lang w:val="es-ES"/>
        </w:rPr>
        <w:t xml:space="preserve"> de tesistas.</w:t>
      </w:r>
    </w:p>
    <w:p w:rsidRPr="00117BA1" w:rsidR="00E662D8" w:rsidP="00117BA1" w:rsidRDefault="00117BA1" w14:paraId="362E0E9C" w14:textId="5F37EDCC">
      <w:pPr>
        <w:rPr>
          <w:lang w:val="es-ES"/>
        </w:rPr>
      </w:pPr>
      <w:r>
        <w:rPr>
          <w:lang w:val="es-ES"/>
        </w:rPr>
        <w:t>Respecto al segundo tema, se enumeran los siguientes obstaculizadores:</w:t>
      </w:r>
    </w:p>
    <w:p w:rsidRPr="00A8145D" w:rsidR="00A8145D" w:rsidP="00A8145D" w:rsidRDefault="00A8145D" w14:paraId="7416DFB6" w14:textId="3C9645B3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lastRenderedPageBreak/>
        <w:t xml:space="preserve">El sentido de cumplimiento de la ley </w:t>
      </w:r>
      <w:r w:rsidRPr="41945847" w:rsidR="2D6BF685">
        <w:rPr>
          <w:lang w:val="es-ES"/>
        </w:rPr>
        <w:t xml:space="preserve">se </w:t>
      </w:r>
      <w:r w:rsidRPr="41945847">
        <w:rPr>
          <w:lang w:val="es-ES"/>
        </w:rPr>
        <w:t xml:space="preserve">ha </w:t>
      </w:r>
      <w:r w:rsidRPr="41945847" w:rsidR="12F9DCF6">
        <w:rPr>
          <w:lang w:val="es-ES"/>
        </w:rPr>
        <w:t>visto mermado en</w:t>
      </w:r>
      <w:r w:rsidRPr="41945847">
        <w:rPr>
          <w:lang w:val="es-ES"/>
        </w:rPr>
        <w:t xml:space="preserve"> comparación a</w:t>
      </w:r>
      <w:r w:rsidRPr="41945847" w:rsidR="6633FF09">
        <w:rPr>
          <w:lang w:val="es-ES"/>
        </w:rPr>
        <w:t>l</w:t>
      </w:r>
      <w:r w:rsidRPr="41945847">
        <w:rPr>
          <w:lang w:val="es-ES"/>
        </w:rPr>
        <w:t xml:space="preserve"> </w:t>
      </w:r>
      <w:r w:rsidRPr="41945847" w:rsidR="27BC6864">
        <w:rPr>
          <w:lang w:val="es-ES"/>
        </w:rPr>
        <w:t xml:space="preserve">inicio de su vigencia, un </w:t>
      </w:r>
      <w:r w:rsidRPr="41945847">
        <w:rPr>
          <w:lang w:val="es-ES"/>
        </w:rPr>
        <w:t xml:space="preserve">menor compromiso y </w:t>
      </w:r>
      <w:r w:rsidRPr="41945847" w:rsidR="4D185006">
        <w:rPr>
          <w:lang w:val="es-ES"/>
        </w:rPr>
        <w:t xml:space="preserve">mayor </w:t>
      </w:r>
      <w:r w:rsidRPr="41945847">
        <w:rPr>
          <w:lang w:val="es-ES"/>
        </w:rPr>
        <w:t xml:space="preserve">resistencia por parte de los distintos departamentos internos, funcionarios al considerar que la solicitud de información es una carga adicional de trabajo. </w:t>
      </w:r>
    </w:p>
    <w:p w:rsidR="00A8145D" w:rsidP="00A8145D" w:rsidRDefault="00A8145D" w14:paraId="2C915084" w14:textId="375F5E89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Ciudadanía solicita acceso a información que no están dentro de la ley, teniendo mayor</w:t>
      </w:r>
      <w:r w:rsidRPr="41945847" w:rsidR="41D8927B">
        <w:rPr>
          <w:lang w:val="es-ES"/>
        </w:rPr>
        <w:t xml:space="preserve"> cantidad de</w:t>
      </w:r>
      <w:r w:rsidRPr="41945847">
        <w:rPr>
          <w:lang w:val="es-ES"/>
        </w:rPr>
        <w:t xml:space="preserve"> solicitudes y </w:t>
      </w:r>
      <w:r w:rsidRPr="41945847" w:rsidR="5FC7E110">
        <w:rPr>
          <w:lang w:val="es-ES"/>
        </w:rPr>
        <w:t>aumentando</w:t>
      </w:r>
      <w:r w:rsidRPr="41945847">
        <w:rPr>
          <w:lang w:val="es-ES"/>
        </w:rPr>
        <w:t xml:space="preserve"> los tiempos de respuesta.</w:t>
      </w:r>
    </w:p>
    <w:p w:rsidRPr="00674F3B" w:rsidR="00674F3B" w:rsidP="00674F3B" w:rsidRDefault="00F83FCB" w14:paraId="24C1FCB0" w14:textId="22FC3630">
      <w:pPr>
        <w:rPr>
          <w:lang w:val="es-ES"/>
        </w:rPr>
      </w:pPr>
      <w:r>
        <w:rPr>
          <w:lang w:val="es-ES"/>
        </w:rPr>
        <w:t xml:space="preserve">Por último, se da cuenta que el no </w:t>
      </w:r>
      <w:r w:rsidRPr="00A8145D" w:rsidR="00A8145D">
        <w:rPr>
          <w:lang w:val="es-ES"/>
        </w:rPr>
        <w:t>contar con unidades con dedicación exclusiva a las SAIP</w:t>
      </w:r>
      <w:r>
        <w:rPr>
          <w:lang w:val="es-ES"/>
        </w:rPr>
        <w:t xml:space="preserve"> dificulta el trabajo para dar respuesta a las solicitudes ya que </w:t>
      </w:r>
      <w:r w:rsidR="003F46BF">
        <w:rPr>
          <w:lang w:val="es-ES"/>
        </w:rPr>
        <w:t>se deben hacer gestiones internas que sobrecargan las labores de los profesionales.</w:t>
      </w:r>
    </w:p>
    <w:p w:rsidR="00A438A2" w:rsidP="00C83638" w:rsidRDefault="00C61109" w14:paraId="21C8AD18" w14:textId="309C5D00">
      <w:pPr>
        <w:pStyle w:val="Ttulo2"/>
        <w:rPr>
          <w:lang w:val="es-ES"/>
        </w:rPr>
      </w:pPr>
      <w:r>
        <w:rPr>
          <w:lang w:val="es-ES"/>
        </w:rPr>
        <w:t>Recomendaciones</w:t>
      </w:r>
    </w:p>
    <w:p w:rsidR="00C61109" w:rsidP="00C61109" w:rsidRDefault="004E2F63" w14:paraId="526B2715" w14:textId="6C2379DC">
      <w:pPr>
        <w:rPr>
          <w:lang w:val="es-ES"/>
        </w:rPr>
      </w:pPr>
      <w:r w:rsidRPr="41945847">
        <w:rPr>
          <w:lang w:val="es-ES"/>
        </w:rPr>
        <w:t>Dentro de las principales recomendaciones que se deriva de lo</w:t>
      </w:r>
      <w:r w:rsidRPr="41945847" w:rsidR="00C12589">
        <w:rPr>
          <w:lang w:val="es-ES"/>
        </w:rPr>
        <w:t xml:space="preserve"> anterior</w:t>
      </w:r>
      <w:r w:rsidRPr="41945847" w:rsidR="00A65E7E">
        <w:rPr>
          <w:lang w:val="es-ES"/>
        </w:rPr>
        <w:t xml:space="preserve">, se observan dos tipos de </w:t>
      </w:r>
      <w:r w:rsidRPr="41945847" w:rsidR="008C5CAD">
        <w:rPr>
          <w:lang w:val="es-ES"/>
        </w:rPr>
        <w:t>sugerencia</w:t>
      </w:r>
      <w:r w:rsidRPr="41945847" w:rsidR="00CD7722">
        <w:rPr>
          <w:lang w:val="es-ES"/>
        </w:rPr>
        <w:t xml:space="preserve">s. </w:t>
      </w:r>
      <w:r w:rsidRPr="41945847" w:rsidR="00C51AC1">
        <w:rPr>
          <w:lang w:val="es-ES"/>
        </w:rPr>
        <w:t xml:space="preserve">Las primeras referidas al </w:t>
      </w:r>
      <w:r w:rsidRPr="41945847" w:rsidR="426A072E">
        <w:rPr>
          <w:lang w:val="es-ES"/>
        </w:rPr>
        <w:t>p</w:t>
      </w:r>
      <w:r w:rsidRPr="41945847" w:rsidR="00C51AC1">
        <w:rPr>
          <w:lang w:val="es-ES"/>
        </w:rPr>
        <w:t xml:space="preserve">ortal de </w:t>
      </w:r>
      <w:r w:rsidRPr="41945847" w:rsidR="4EDEE9E9">
        <w:rPr>
          <w:lang w:val="es-ES"/>
        </w:rPr>
        <w:t>t</w:t>
      </w:r>
      <w:r w:rsidRPr="41945847" w:rsidR="00183AD1">
        <w:rPr>
          <w:lang w:val="es-ES"/>
        </w:rPr>
        <w:t>ransparencia</w:t>
      </w:r>
      <w:r w:rsidRPr="41945847" w:rsidR="00DB3C7B">
        <w:rPr>
          <w:lang w:val="es-ES"/>
        </w:rPr>
        <w:t xml:space="preserve"> y la </w:t>
      </w:r>
      <w:r w:rsidRPr="41945847" w:rsidR="16373B70">
        <w:rPr>
          <w:lang w:val="es-ES"/>
        </w:rPr>
        <w:t>l</w:t>
      </w:r>
      <w:r w:rsidRPr="41945847" w:rsidR="00DB3C7B">
        <w:rPr>
          <w:lang w:val="es-ES"/>
        </w:rPr>
        <w:t>ey</w:t>
      </w:r>
      <w:r w:rsidRPr="41945847" w:rsidR="00C51AC1">
        <w:rPr>
          <w:lang w:val="es-ES"/>
        </w:rPr>
        <w:t>, tales como:</w:t>
      </w:r>
    </w:p>
    <w:p w:rsidRPr="00931E4E" w:rsidR="00E76981" w:rsidP="00E76981" w:rsidRDefault="00E76981" w14:paraId="51A485E1" w14:textId="59EB3E27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>Mejorar portal de transparencia, al realizar un movimiento se cae el sistema por lo que deben volver a iniciar sesión</w:t>
      </w:r>
      <w:r w:rsidR="00401ECE">
        <w:rPr>
          <w:lang w:val="es-ES"/>
        </w:rPr>
        <w:t>.</w:t>
      </w:r>
    </w:p>
    <w:p w:rsidR="00E76981" w:rsidP="00E76981" w:rsidRDefault="00E76981" w14:paraId="567B0661" w14:textId="4D939C4F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>Crear otros canales y flujos de información para los tesistas. Solicitudes simples mediante página web institucional y no por el portal de transparencia.</w:t>
      </w:r>
    </w:p>
    <w:p w:rsidRPr="00931E4E" w:rsidR="00401ECE" w:rsidP="00401ECE" w:rsidRDefault="00401ECE" w14:paraId="137F7EC7" w14:textId="66E76054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Entregar capacitaciones mediante Consejo</w:t>
      </w:r>
      <w:r w:rsidRPr="41945847" w:rsidR="4B634E4F">
        <w:rPr>
          <w:lang w:val="es-ES"/>
        </w:rPr>
        <w:t xml:space="preserve"> para la</w:t>
      </w:r>
      <w:r w:rsidRPr="41945847">
        <w:rPr>
          <w:lang w:val="es-ES"/>
        </w:rPr>
        <w:t xml:space="preserve"> Transparencia o establecer políticas de capacitación.</w:t>
      </w:r>
    </w:p>
    <w:p w:rsidRPr="00931E4E" w:rsidR="00401ECE" w:rsidP="00401ECE" w:rsidRDefault="00401ECE" w14:paraId="1D2F5643" w14:textId="77777777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 xml:space="preserve">Refuerzo y fidelización funcionaria. Todos los funcionarios públicos tienen el deber de responder SAIP provenientes de la ciudadanía, independiente del cargo, calidad jurídica, estamento o grado. Reforzar esta labor en los códigos de ética institucional. </w:t>
      </w:r>
    </w:p>
    <w:p w:rsidR="00C51AC1" w:rsidP="41945847" w:rsidRDefault="00401ECE" w14:paraId="019EF372" w14:textId="39BB1091">
      <w:pPr>
        <w:pStyle w:val="Prrafodelista"/>
        <w:numPr>
          <w:ilvl w:val="0"/>
          <w:numId w:val="5"/>
        </w:numPr>
        <w:rPr>
          <w:lang w:val="es-ES"/>
        </w:rPr>
      </w:pPr>
      <w:r w:rsidRPr="41945847">
        <w:rPr>
          <w:lang w:val="es-ES"/>
        </w:rPr>
        <w:t>Crear categorías definidas de inadmisibilidad de solicitudes.</w:t>
      </w:r>
    </w:p>
    <w:p w:rsidR="00C51AC1" w:rsidP="00C61109" w:rsidRDefault="00183AD1" w14:paraId="4CB391B3" w14:textId="54BD415B">
      <w:pPr>
        <w:rPr>
          <w:lang w:val="es-ES"/>
        </w:rPr>
      </w:pPr>
      <w:r>
        <w:rPr>
          <w:lang w:val="es-ES"/>
        </w:rPr>
        <w:t xml:space="preserve">Además, se sugieren acciones </w:t>
      </w:r>
      <w:r w:rsidR="00451E08">
        <w:rPr>
          <w:lang w:val="es-ES"/>
        </w:rPr>
        <w:t>en relación con</w:t>
      </w:r>
      <w:r>
        <w:rPr>
          <w:lang w:val="es-ES"/>
        </w:rPr>
        <w:t xml:space="preserve"> la gestión de información interna:</w:t>
      </w:r>
    </w:p>
    <w:p w:rsidRPr="00931E4E" w:rsidR="000C57BE" w:rsidP="000C57BE" w:rsidRDefault="000C57BE" w14:paraId="6DAEBA81" w14:textId="7CB571D1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>Crear una instancia especializada en la respuesta de las solicitudes SAIP. Se observa que los servicios que tienen un departamento de transparencia funcionan mejor que aquellos en que no existe, o que está fusionado con otras labores como la participación ciudadana o PMG.</w:t>
      </w:r>
    </w:p>
    <w:p w:rsidRPr="009549F1" w:rsidR="000C57BE" w:rsidP="009549F1" w:rsidRDefault="000C57BE" w14:paraId="6335E51E" w14:textId="48424659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>Crear un flujo interno por resolución de manera que quede claro las responsabilidades de cada parte del proceso, así indicando cuando operan las subrogancias y la actuación de los expertos. Validando la respuesta por la jefatura correspondiente certificando la calidad (V</w:t>
      </w:r>
      <w:r w:rsidR="00A04617">
        <w:rPr>
          <w:lang w:val="es-ES"/>
        </w:rPr>
        <w:t>isto bueno</w:t>
      </w:r>
      <w:r w:rsidRPr="00931E4E">
        <w:rPr>
          <w:lang w:val="es-ES"/>
        </w:rPr>
        <w:t xml:space="preserve"> del área técnica por parte de un/a jefe/a división, departamento u oficina). En esta resolución también debiese considerar los tiempos de respuesta de cada una de las partes del flujo</w:t>
      </w:r>
      <w:r w:rsidR="0032248C">
        <w:rPr>
          <w:lang w:val="es-ES"/>
        </w:rPr>
        <w:t xml:space="preserve">, </w:t>
      </w:r>
      <w:r w:rsidRPr="00931E4E" w:rsidR="0032248C">
        <w:rPr>
          <w:lang w:val="es-ES"/>
        </w:rPr>
        <w:t>reconoc</w:t>
      </w:r>
      <w:r w:rsidR="0032248C">
        <w:rPr>
          <w:lang w:val="es-ES"/>
        </w:rPr>
        <w:t>iendo</w:t>
      </w:r>
      <w:r w:rsidRPr="00931E4E" w:rsidR="0032248C">
        <w:rPr>
          <w:lang w:val="es-ES"/>
        </w:rPr>
        <w:t xml:space="preserve"> </w:t>
      </w:r>
      <w:r w:rsidR="0032248C">
        <w:rPr>
          <w:lang w:val="es-ES"/>
        </w:rPr>
        <w:t xml:space="preserve">cual es la </w:t>
      </w:r>
      <w:r w:rsidRPr="00931E4E" w:rsidR="0032248C">
        <w:rPr>
          <w:lang w:val="es-ES"/>
        </w:rPr>
        <w:t>unidad que tiene que estar a cargo de la información</w:t>
      </w:r>
      <w:r w:rsidR="0032248C">
        <w:rPr>
          <w:lang w:val="es-ES"/>
        </w:rPr>
        <w:t>.</w:t>
      </w:r>
    </w:p>
    <w:p w:rsidRPr="00931E4E" w:rsidR="001969EB" w:rsidP="001969EB" w:rsidRDefault="001969EB" w14:paraId="0374AF51" w14:textId="49C44631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>Disponer de licencias de software que faciliten el proceso de respuesta a las SAIP, por ejemplo, software que ayuden a la censura de datos sensibles.</w:t>
      </w:r>
    </w:p>
    <w:p w:rsidRPr="00931E4E" w:rsidR="002005E6" w:rsidP="002005E6" w:rsidRDefault="002005E6" w14:paraId="0EABF907" w14:textId="09C59A19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>Delegación de firma a jefaturas intermedias</w:t>
      </w:r>
      <w:r>
        <w:rPr>
          <w:lang w:val="es-ES"/>
        </w:rPr>
        <w:t xml:space="preserve">, </w:t>
      </w:r>
      <w:r w:rsidR="00401ECE">
        <w:rPr>
          <w:lang w:val="es-ES"/>
        </w:rPr>
        <w:t>como,</w:t>
      </w:r>
      <w:r>
        <w:rPr>
          <w:lang w:val="es-ES"/>
        </w:rPr>
        <w:t xml:space="preserve"> por ejemplo, jefatura de la </w:t>
      </w:r>
      <w:r w:rsidR="00E93E7C">
        <w:rPr>
          <w:lang w:val="es-ES"/>
        </w:rPr>
        <w:t>división jurídica</w:t>
      </w:r>
      <w:r w:rsidRPr="00931E4E">
        <w:rPr>
          <w:lang w:val="es-ES"/>
        </w:rPr>
        <w:t>.</w:t>
      </w:r>
    </w:p>
    <w:p w:rsidRPr="00931E4E" w:rsidR="00493B8E" w:rsidP="00493B8E" w:rsidRDefault="00493B8E" w14:paraId="6EF5E98B" w14:textId="77777777">
      <w:pPr>
        <w:pStyle w:val="Prrafodelista"/>
        <w:numPr>
          <w:ilvl w:val="0"/>
          <w:numId w:val="5"/>
        </w:numPr>
        <w:rPr>
          <w:lang w:val="es-ES"/>
        </w:rPr>
      </w:pPr>
      <w:r w:rsidRPr="00931E4E">
        <w:rPr>
          <w:lang w:val="es-ES"/>
        </w:rPr>
        <w:t xml:space="preserve">Solicitudes denegatorias o amparos firmadas por el jefe de servicio, el resto de las solicitudes firmadas por quien tenga la facultad de firma delegada. </w:t>
      </w:r>
    </w:p>
    <w:p w:rsidR="00156230" w:rsidP="2507FE86" w:rsidRDefault="00156230" w14:paraId="30D2282B" w14:textId="22C93AA7">
      <w:pPr>
        <w:pStyle w:val="Prrafodelista"/>
        <w:numPr>
          <w:ilvl w:val="0"/>
          <w:numId w:val="5"/>
        </w:numPr>
        <w:rPr>
          <w:lang w:val="es-ES"/>
        </w:rPr>
      </w:pPr>
      <w:r w:rsidRPr="2507FE86" w:rsidR="00156230">
        <w:rPr>
          <w:lang w:val="es-ES"/>
        </w:rPr>
        <w:t xml:space="preserve">Estandarización de normativas y criterios de respuesta. </w:t>
      </w:r>
      <w:r w:rsidRPr="2507FE86" w:rsidR="00156230">
        <w:rPr>
          <w:lang w:val="es-ES"/>
        </w:rPr>
        <w:t>Ej</w:t>
      </w:r>
      <w:r w:rsidRPr="2507FE86" w:rsidR="00156230">
        <w:rPr>
          <w:lang w:val="es-ES"/>
        </w:rPr>
        <w:t xml:space="preserve">: Ante una misma solicitud </w:t>
      </w:r>
      <w:r w:rsidRPr="2507FE86" w:rsidR="00156230">
        <w:rPr>
          <w:lang w:val="es-ES"/>
        </w:rPr>
        <w:t xml:space="preserve">que entra por distintos canales o tipo de procedimiento administrativo (por lobby, OIRS, u otra) </w:t>
      </w:r>
      <w:r w:rsidRPr="2507FE86" w:rsidR="00156230">
        <w:rPr>
          <w:lang w:val="es-ES"/>
        </w:rPr>
        <w:t xml:space="preserve">entregar </w:t>
      </w:r>
      <w:r w:rsidRPr="2507FE86" w:rsidR="00156230">
        <w:rPr>
          <w:lang w:val="es-ES"/>
        </w:rPr>
        <w:t xml:space="preserve">una misma </w:t>
      </w:r>
      <w:r w:rsidRPr="2507FE86" w:rsidR="00156230">
        <w:rPr>
          <w:lang w:val="es-ES"/>
        </w:rPr>
        <w:t>respuesta</w:t>
      </w:r>
      <w:r w:rsidRPr="2507FE86" w:rsidR="00156230">
        <w:rPr>
          <w:lang w:val="es-ES"/>
        </w:rPr>
        <w:t xml:space="preserve"> o derivar a una única respuesta.</w:t>
      </w:r>
      <w:r w:rsidRPr="2507FE86" w:rsidR="00156230">
        <w:rPr>
          <w:lang w:val="es-ES"/>
        </w:rPr>
        <w:t xml:space="preserve"> </w:t>
      </w:r>
    </w:p>
    <w:p w:rsidR="2507FE86" w:rsidP="2507FE86" w:rsidRDefault="2507FE86" w14:paraId="2F412E9E" w14:textId="4A14D35A">
      <w:pPr>
        <w:pStyle w:val="Normal"/>
        <w:ind w:left="0"/>
        <w:rPr>
          <w:lang w:val="es-ES"/>
        </w:rPr>
      </w:pPr>
    </w:p>
    <w:p w:rsidR="207E69EB" w:rsidP="2507FE86" w:rsidRDefault="207E69EB" w14:paraId="0361F007" w14:textId="4E6EFE27">
      <w:pPr>
        <w:pStyle w:val="Prrafodelista"/>
        <w:rPr>
          <w:b w:val="1"/>
          <w:bCs w:val="1"/>
          <w:lang w:val="es-ES"/>
        </w:rPr>
      </w:pPr>
      <w:r w:rsidRPr="791B4706" w:rsidR="207E69EB">
        <w:rPr>
          <w:b w:val="1"/>
          <w:bCs w:val="1"/>
          <w:lang w:val="es-ES"/>
        </w:rPr>
        <w:t>Hallazgos en acciones previas</w:t>
      </w:r>
    </w:p>
    <w:p w:rsidR="034AEB98" w:rsidP="2507FE86" w:rsidRDefault="034AEB98" w14:paraId="053B9670" w14:textId="0CEBF63C">
      <w:pPr>
        <w:pStyle w:val="Normal"/>
        <w:rPr>
          <w:lang w:val="es-ES"/>
        </w:rPr>
      </w:pPr>
      <w:r w:rsidRPr="2507FE86" w:rsidR="034AEB98">
        <w:rPr>
          <w:lang w:val="es-ES"/>
        </w:rPr>
        <w:t xml:space="preserve">En </w:t>
      </w:r>
      <w:r w:rsidRPr="2507FE86" w:rsidR="6710C827">
        <w:rPr>
          <w:lang w:val="es-ES"/>
        </w:rPr>
        <w:t xml:space="preserve">el </w:t>
      </w:r>
      <w:r w:rsidRPr="2507FE86" w:rsidR="034AEB98">
        <w:rPr>
          <w:lang w:val="es-ES"/>
        </w:rPr>
        <w:t>o</w:t>
      </w:r>
      <w:r w:rsidRPr="2507FE86" w:rsidR="4F501B56">
        <w:rPr>
          <w:lang w:val="es-ES"/>
        </w:rPr>
        <w:t>ficio N°1183</w:t>
      </w:r>
      <w:r w:rsidRPr="2507FE86" w:rsidR="5BCEC425">
        <w:rPr>
          <w:lang w:val="es-ES"/>
        </w:rPr>
        <w:t>, remitido por esta Comisión al CPLT,</w:t>
      </w:r>
      <w:r w:rsidRPr="2507FE86" w:rsidR="4F501B56">
        <w:rPr>
          <w:lang w:val="es-ES"/>
        </w:rPr>
        <w:t xml:space="preserve"> </w:t>
      </w:r>
      <w:r w:rsidRPr="2507FE86" w:rsidR="0E6FC3A0">
        <w:rPr>
          <w:lang w:val="es-ES"/>
        </w:rPr>
        <w:t xml:space="preserve">de </w:t>
      </w:r>
      <w:r w:rsidRPr="2507FE86" w:rsidR="3A7179B9">
        <w:rPr>
          <w:lang w:val="es-ES"/>
        </w:rPr>
        <w:t xml:space="preserve">fecha </w:t>
      </w:r>
      <w:r w:rsidRPr="2507FE86" w:rsidR="0E6FC3A0">
        <w:rPr>
          <w:lang w:val="es-ES"/>
        </w:rPr>
        <w:t>08 de agosto de 2022</w:t>
      </w:r>
      <w:r w:rsidRPr="2507FE86" w:rsidR="5B2414BB">
        <w:rPr>
          <w:lang w:val="es-ES"/>
        </w:rPr>
        <w:t>,</w:t>
      </w:r>
      <w:r w:rsidRPr="2507FE86" w:rsidR="0E6FC3A0">
        <w:rPr>
          <w:lang w:val="es-ES"/>
        </w:rPr>
        <w:t xml:space="preserve"> </w:t>
      </w:r>
      <w:r w:rsidRPr="2507FE86" w:rsidR="4F501B56">
        <w:rPr>
          <w:lang w:val="es-ES"/>
        </w:rPr>
        <w:t xml:space="preserve">a través del que se comunica resultados de encuesta aplicada </w:t>
      </w:r>
      <w:r w:rsidRPr="2507FE86" w:rsidR="4A2DF4D4">
        <w:rPr>
          <w:lang w:val="es-ES"/>
        </w:rPr>
        <w:t>por</w:t>
      </w:r>
      <w:r w:rsidRPr="2507FE86" w:rsidR="72C9C6D6">
        <w:rPr>
          <w:lang w:val="es-ES"/>
        </w:rPr>
        <w:t xml:space="preserve"> </w:t>
      </w:r>
      <w:r w:rsidRPr="2507FE86" w:rsidR="4F501B56">
        <w:rPr>
          <w:lang w:val="es-ES"/>
        </w:rPr>
        <w:t>la</w:t>
      </w:r>
      <w:r w:rsidRPr="2507FE86" w:rsidR="4F501B56">
        <w:rPr>
          <w:lang w:val="es-ES"/>
        </w:rPr>
        <w:t xml:space="preserve"> Comisión </w:t>
      </w:r>
      <w:r w:rsidRPr="2507FE86" w:rsidR="5E98EF80">
        <w:rPr>
          <w:lang w:val="es-ES"/>
        </w:rPr>
        <w:t xml:space="preserve">a </w:t>
      </w:r>
      <w:r w:rsidRPr="2507FE86" w:rsidR="4F501B56">
        <w:rPr>
          <w:lang w:val="es-ES"/>
        </w:rPr>
        <w:t xml:space="preserve">los diferentes Ministerios y Subsecretarías sobre el funcionamiento del Portal de </w:t>
      </w:r>
      <w:r w:rsidRPr="2507FE86" w:rsidR="214D9807">
        <w:rPr>
          <w:lang w:val="es-ES"/>
        </w:rPr>
        <w:t>Transparencia</w:t>
      </w:r>
      <w:r w:rsidRPr="2507FE86" w:rsidR="23592FA6">
        <w:rPr>
          <w:lang w:val="es-ES"/>
        </w:rPr>
        <w:t xml:space="preserve">, </w:t>
      </w:r>
      <w:r w:rsidRPr="2507FE86" w:rsidR="07BC3EE9">
        <w:rPr>
          <w:lang w:val="es-ES"/>
        </w:rPr>
        <w:t xml:space="preserve">se informó al CPLT acerca de los resultados de de una </w:t>
      </w:r>
      <w:r w:rsidRPr="2507FE86" w:rsidR="6C1F13DF">
        <w:rPr>
          <w:lang w:val="es-ES"/>
        </w:rPr>
        <w:t>encuesta</w:t>
      </w:r>
      <w:r w:rsidRPr="2507FE86" w:rsidR="07BC3EE9">
        <w:rPr>
          <w:lang w:val="es-ES"/>
        </w:rPr>
        <w:t xml:space="preserve"> </w:t>
      </w:r>
      <w:r w:rsidRPr="2507FE86" w:rsidR="07BC3EE9">
        <w:rPr>
          <w:lang w:val="es-ES"/>
        </w:rPr>
        <w:t xml:space="preserve">aplicada a la </w:t>
      </w:r>
      <w:r w:rsidRPr="2507FE86" w:rsidR="613263E5">
        <w:rPr>
          <w:lang w:val="es-ES"/>
        </w:rPr>
        <w:t>totalidad</w:t>
      </w:r>
      <w:r w:rsidRPr="2507FE86" w:rsidR="07BC3EE9">
        <w:rPr>
          <w:lang w:val="es-ES"/>
        </w:rPr>
        <w:t xml:space="preserve"> </w:t>
      </w:r>
      <w:r w:rsidRPr="2507FE86" w:rsidR="3D83EF40">
        <w:rPr>
          <w:lang w:val="es-ES"/>
        </w:rPr>
        <w:t xml:space="preserve">de las Subsecretarías </w:t>
      </w:r>
      <w:r w:rsidRPr="2507FE86" w:rsidR="01EAE696">
        <w:rPr>
          <w:lang w:val="es-ES"/>
        </w:rPr>
        <w:t xml:space="preserve">del Estado </w:t>
      </w:r>
      <w:r w:rsidRPr="2507FE86" w:rsidR="3D83EF40">
        <w:rPr>
          <w:lang w:val="es-ES"/>
        </w:rPr>
        <w:t xml:space="preserve">(48) obteniendo </w:t>
      </w:r>
      <w:r w:rsidRPr="2507FE86" w:rsidR="65BC71A1">
        <w:rPr>
          <w:lang w:val="es-ES"/>
        </w:rPr>
        <w:t>respuesta</w:t>
      </w:r>
      <w:r w:rsidRPr="2507FE86" w:rsidR="3D83EF40">
        <w:rPr>
          <w:lang w:val="es-ES"/>
        </w:rPr>
        <w:t xml:space="preserve"> de 45 de ellas. </w:t>
      </w:r>
      <w:r w:rsidRPr="2507FE86" w:rsidR="693A35B5">
        <w:rPr>
          <w:lang w:val="es-ES"/>
        </w:rPr>
        <w:t>Se realizaron 9 preguntas</w:t>
      </w:r>
      <w:r w:rsidRPr="2507FE86" w:rsidR="798FCC9C">
        <w:rPr>
          <w:lang w:val="es-ES"/>
        </w:rPr>
        <w:t>, cuyas respuestas fueron: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15"/>
        <w:gridCol w:w="645"/>
        <w:gridCol w:w="675"/>
      </w:tblGrid>
      <w:tr w:rsidR="2507FE86" w:rsidTr="2507FE86" w14:paraId="2BE24F6F">
        <w:trPr>
          <w:trHeight w:val="300"/>
        </w:trPr>
        <w:tc>
          <w:tcPr>
            <w:tcW w:w="7515" w:type="dxa"/>
            <w:tcMar/>
          </w:tcPr>
          <w:p w:rsidR="0B7446F9" w:rsidP="2507FE86" w:rsidRDefault="0B7446F9" w14:paraId="7852D04D" w14:textId="69AFB5D5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Pregunta</w:t>
            </w:r>
          </w:p>
        </w:tc>
        <w:tc>
          <w:tcPr>
            <w:tcW w:w="645" w:type="dxa"/>
            <w:tcMar/>
          </w:tcPr>
          <w:p w:rsidR="0B7446F9" w:rsidP="2507FE86" w:rsidRDefault="0B7446F9" w14:paraId="49A19A19" w14:textId="2EA68821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 xml:space="preserve">Sí </w:t>
            </w:r>
          </w:p>
        </w:tc>
        <w:tc>
          <w:tcPr>
            <w:tcW w:w="675" w:type="dxa"/>
            <w:tcMar/>
          </w:tcPr>
          <w:p w:rsidR="0B7446F9" w:rsidP="2507FE86" w:rsidRDefault="0B7446F9" w14:paraId="5D6251B3" w14:textId="17C24C30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No</w:t>
            </w:r>
          </w:p>
        </w:tc>
      </w:tr>
      <w:tr w:rsidR="2507FE86" w:rsidTr="2507FE86" w14:paraId="4EDACB3E">
        <w:trPr>
          <w:trHeight w:val="300"/>
        </w:trPr>
        <w:tc>
          <w:tcPr>
            <w:tcW w:w="7515" w:type="dxa"/>
            <w:tcMar/>
          </w:tcPr>
          <w:p w:rsidR="0B7446F9" w:rsidP="2507FE86" w:rsidRDefault="0B7446F9" w14:paraId="4E27E94A" w14:textId="28734809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 xml:space="preserve">¿Tiene problemas al subir archivos de forma </w:t>
            </w:r>
            <w:r w:rsidRPr="2507FE86" w:rsidR="0B7446F9">
              <w:rPr>
                <w:lang w:val="es-ES"/>
              </w:rPr>
              <w:t>simultánea</w:t>
            </w:r>
            <w:r w:rsidRPr="2507FE86" w:rsidR="0B7446F9">
              <w:rPr>
                <w:lang w:val="es-ES"/>
              </w:rPr>
              <w:t>?</w:t>
            </w:r>
          </w:p>
        </w:tc>
        <w:tc>
          <w:tcPr>
            <w:tcW w:w="645" w:type="dxa"/>
            <w:tcMar/>
          </w:tcPr>
          <w:p w:rsidR="0B7446F9" w:rsidP="2507FE86" w:rsidRDefault="0B7446F9" w14:paraId="59F83A95" w14:textId="1811C48C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25</w:t>
            </w:r>
          </w:p>
        </w:tc>
        <w:tc>
          <w:tcPr>
            <w:tcW w:w="675" w:type="dxa"/>
            <w:tcMar/>
          </w:tcPr>
          <w:p w:rsidR="0B7446F9" w:rsidP="2507FE86" w:rsidRDefault="0B7446F9" w14:paraId="6DB8CEF4" w14:textId="687ED7C8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20</w:t>
            </w:r>
          </w:p>
        </w:tc>
      </w:tr>
      <w:tr w:rsidR="2507FE86" w:rsidTr="2507FE86" w14:paraId="430FC34C">
        <w:trPr>
          <w:trHeight w:val="300"/>
        </w:trPr>
        <w:tc>
          <w:tcPr>
            <w:tcW w:w="7515" w:type="dxa"/>
            <w:tcMar/>
          </w:tcPr>
          <w:p w:rsidR="0B7446F9" w:rsidP="2507FE86" w:rsidRDefault="0B7446F9" w14:paraId="240B9C21" w14:textId="0DF1634C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¿Tiene problemas con el tamaño de los archivos que se suben al Portal</w:t>
            </w:r>
          </w:p>
        </w:tc>
        <w:tc>
          <w:tcPr>
            <w:tcW w:w="645" w:type="dxa"/>
            <w:tcMar/>
          </w:tcPr>
          <w:p w:rsidR="0B7446F9" w:rsidP="2507FE86" w:rsidRDefault="0B7446F9" w14:paraId="41D7E011" w14:textId="597C5003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29</w:t>
            </w:r>
          </w:p>
        </w:tc>
        <w:tc>
          <w:tcPr>
            <w:tcW w:w="675" w:type="dxa"/>
            <w:tcMar/>
          </w:tcPr>
          <w:p w:rsidR="0B7446F9" w:rsidP="2507FE86" w:rsidRDefault="0B7446F9" w14:paraId="7575E521" w14:textId="686CFA10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>16</w:t>
            </w:r>
          </w:p>
        </w:tc>
      </w:tr>
      <w:tr w:rsidR="2507FE86" w:rsidTr="2507FE86" w14:paraId="059FCE11">
        <w:trPr>
          <w:trHeight w:val="300"/>
        </w:trPr>
        <w:tc>
          <w:tcPr>
            <w:tcW w:w="7515" w:type="dxa"/>
            <w:tcMar/>
          </w:tcPr>
          <w:p w:rsidR="0B7446F9" w:rsidP="2507FE86" w:rsidRDefault="0B7446F9" w14:paraId="1CFFE151" w14:textId="7C3E638A">
            <w:pPr>
              <w:pStyle w:val="Normal"/>
              <w:rPr>
                <w:lang w:val="es-ES"/>
              </w:rPr>
            </w:pPr>
            <w:r w:rsidRPr="2507FE86" w:rsidR="0B7446F9">
              <w:rPr>
                <w:lang w:val="es-ES"/>
              </w:rPr>
              <w:t xml:space="preserve">¿La plataforma le permite derivar las solicitudes </w:t>
            </w:r>
            <w:r w:rsidRPr="2507FE86" w:rsidR="4A2D17CE">
              <w:rPr>
                <w:lang w:val="es-ES"/>
              </w:rPr>
              <w:t>de</w:t>
            </w:r>
            <w:r w:rsidRPr="2507FE86" w:rsidR="0B7446F9">
              <w:rPr>
                <w:lang w:val="es-ES"/>
              </w:rPr>
              <w:t xml:space="preserve"> acceso a la información correctamente a otros servicios?</w:t>
            </w:r>
            <w:r w:rsidRPr="2507FE86">
              <w:rPr>
                <w:rStyle w:val="FootnoteReference"/>
                <w:lang w:val="es-ES"/>
              </w:rPr>
              <w:footnoteReference w:id="25442"/>
            </w:r>
          </w:p>
        </w:tc>
        <w:tc>
          <w:tcPr>
            <w:tcW w:w="645" w:type="dxa"/>
            <w:tcMar/>
          </w:tcPr>
          <w:p w:rsidR="2C19E59C" w:rsidP="2507FE86" w:rsidRDefault="2C19E59C" w14:paraId="3D91F5A8" w14:textId="4514A0F6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16</w:t>
            </w:r>
          </w:p>
        </w:tc>
        <w:tc>
          <w:tcPr>
            <w:tcW w:w="675" w:type="dxa"/>
            <w:tcMar/>
          </w:tcPr>
          <w:p w:rsidR="2C19E59C" w:rsidP="2507FE86" w:rsidRDefault="2C19E59C" w14:paraId="5D98F1FA" w14:textId="4885DE24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29</w:t>
            </w:r>
          </w:p>
        </w:tc>
      </w:tr>
      <w:tr w:rsidR="2507FE86" w:rsidTr="2507FE86" w14:paraId="19CE27BF">
        <w:trPr>
          <w:trHeight w:val="300"/>
        </w:trPr>
        <w:tc>
          <w:tcPr>
            <w:tcW w:w="7515" w:type="dxa"/>
            <w:tcMar/>
          </w:tcPr>
          <w:p w:rsidR="2C19E59C" w:rsidP="2507FE86" w:rsidRDefault="2C19E59C" w14:paraId="4B34EA56" w14:textId="4F891206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¿Considera necesario que la solicitud se pueda derivar a más de un organismo?</w:t>
            </w:r>
          </w:p>
        </w:tc>
        <w:tc>
          <w:tcPr>
            <w:tcW w:w="645" w:type="dxa"/>
            <w:tcMar/>
          </w:tcPr>
          <w:p w:rsidR="2C19E59C" w:rsidP="2507FE86" w:rsidRDefault="2C19E59C" w14:paraId="7AAC3CD8" w14:textId="1526392C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43</w:t>
            </w:r>
          </w:p>
        </w:tc>
        <w:tc>
          <w:tcPr>
            <w:tcW w:w="675" w:type="dxa"/>
            <w:tcMar/>
          </w:tcPr>
          <w:p w:rsidR="2C19E59C" w:rsidP="2507FE86" w:rsidRDefault="2C19E59C" w14:paraId="573CCCCD" w14:textId="34274C26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2</w:t>
            </w:r>
          </w:p>
        </w:tc>
      </w:tr>
      <w:tr w:rsidR="2507FE86" w:rsidTr="2507FE86" w14:paraId="2B2BCA6F">
        <w:trPr>
          <w:trHeight w:val="300"/>
        </w:trPr>
        <w:tc>
          <w:tcPr>
            <w:tcW w:w="7515" w:type="dxa"/>
            <w:tcMar/>
          </w:tcPr>
          <w:p w:rsidR="2C19E59C" w:rsidP="2507FE86" w:rsidRDefault="2C19E59C" w14:paraId="4AE963CF" w14:textId="091B0437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 xml:space="preserve">Para agilizar el proceso de subsanación y </w:t>
            </w:r>
            <w:r w:rsidRPr="2507FE86" w:rsidR="24CA7C96">
              <w:rPr>
                <w:lang w:val="es-ES"/>
              </w:rPr>
              <w:t>finalización</w:t>
            </w:r>
            <w:r w:rsidRPr="2507FE86" w:rsidR="2C19E59C">
              <w:rPr>
                <w:lang w:val="es-ES"/>
              </w:rPr>
              <w:t xml:space="preserve"> del caso. ¿Considera que estas acciones puedan realizarse por todo el </w:t>
            </w:r>
            <w:r w:rsidRPr="2507FE86" w:rsidR="2C19E59C">
              <w:rPr>
                <w:lang w:val="es-ES"/>
              </w:rPr>
              <w:t>equip</w:t>
            </w:r>
            <w:r w:rsidRPr="2507FE86" w:rsidR="2C19E59C">
              <w:rPr>
                <w:lang w:val="es-ES"/>
              </w:rPr>
              <w:t>o que se desempeña en la unidad de transparencia?</w:t>
            </w:r>
          </w:p>
        </w:tc>
        <w:tc>
          <w:tcPr>
            <w:tcW w:w="645" w:type="dxa"/>
            <w:tcMar/>
          </w:tcPr>
          <w:p w:rsidR="2C19E59C" w:rsidP="2507FE86" w:rsidRDefault="2C19E59C" w14:paraId="6D1B74E1" w14:textId="0D2AF504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32</w:t>
            </w:r>
          </w:p>
        </w:tc>
        <w:tc>
          <w:tcPr>
            <w:tcW w:w="675" w:type="dxa"/>
            <w:tcMar/>
          </w:tcPr>
          <w:p w:rsidR="2C19E59C" w:rsidP="2507FE86" w:rsidRDefault="2C19E59C" w14:paraId="24182908" w14:textId="739E4A3A">
            <w:pPr>
              <w:pStyle w:val="Normal"/>
              <w:rPr>
                <w:lang w:val="es-ES"/>
              </w:rPr>
            </w:pPr>
            <w:r w:rsidRPr="2507FE86" w:rsidR="2C19E59C">
              <w:rPr>
                <w:lang w:val="es-ES"/>
              </w:rPr>
              <w:t>13</w:t>
            </w:r>
          </w:p>
        </w:tc>
      </w:tr>
      <w:tr w:rsidR="2507FE86" w:rsidTr="2507FE86" w14:paraId="6D9E03BF">
        <w:trPr>
          <w:trHeight w:val="300"/>
        </w:trPr>
        <w:tc>
          <w:tcPr>
            <w:tcW w:w="7515" w:type="dxa"/>
            <w:tcMar/>
          </w:tcPr>
          <w:p w:rsidR="3293D604" w:rsidP="2507FE86" w:rsidRDefault="3293D604" w14:paraId="58373F22" w14:textId="5B67EC0E">
            <w:pPr>
              <w:pStyle w:val="Normal"/>
              <w:rPr>
                <w:lang w:val="es-ES"/>
              </w:rPr>
            </w:pPr>
            <w:r w:rsidRPr="2507FE86" w:rsidR="3293D604">
              <w:rPr>
                <w:lang w:val="es-ES"/>
              </w:rPr>
              <w:t>¿Considera que se requiere añadir un sistema de búsqueda, que incorpore palabras claves en la descripción de la solicitud y/o respuesta otorgada?</w:t>
            </w:r>
          </w:p>
        </w:tc>
        <w:tc>
          <w:tcPr>
            <w:tcW w:w="645" w:type="dxa"/>
            <w:tcMar/>
          </w:tcPr>
          <w:p w:rsidR="3293D604" w:rsidP="2507FE86" w:rsidRDefault="3293D604" w14:paraId="5B88AD4F" w14:textId="18B1235A">
            <w:pPr>
              <w:pStyle w:val="Normal"/>
              <w:rPr>
                <w:lang w:val="es-ES"/>
              </w:rPr>
            </w:pPr>
            <w:r w:rsidRPr="2507FE86" w:rsidR="3293D604">
              <w:rPr>
                <w:lang w:val="es-ES"/>
              </w:rPr>
              <w:t>43</w:t>
            </w:r>
          </w:p>
        </w:tc>
        <w:tc>
          <w:tcPr>
            <w:tcW w:w="675" w:type="dxa"/>
            <w:tcMar/>
          </w:tcPr>
          <w:p w:rsidR="3293D604" w:rsidP="2507FE86" w:rsidRDefault="3293D604" w14:paraId="173A4C29" w14:textId="6D9A400D">
            <w:pPr>
              <w:pStyle w:val="Normal"/>
              <w:rPr>
                <w:lang w:val="es-ES"/>
              </w:rPr>
            </w:pPr>
            <w:r w:rsidRPr="2507FE86" w:rsidR="3293D604">
              <w:rPr>
                <w:lang w:val="es-ES"/>
              </w:rPr>
              <w:t>2</w:t>
            </w:r>
          </w:p>
        </w:tc>
      </w:tr>
      <w:tr w:rsidR="2507FE86" w:rsidTr="2507FE86" w14:paraId="7BD4D47A">
        <w:trPr>
          <w:trHeight w:val="300"/>
        </w:trPr>
        <w:tc>
          <w:tcPr>
            <w:tcW w:w="7515" w:type="dxa"/>
            <w:tcMar/>
          </w:tcPr>
          <w:p w:rsidR="3293D604" w:rsidP="2507FE86" w:rsidRDefault="3293D604" w14:paraId="3D573AE4" w14:textId="309B2F86">
            <w:pPr>
              <w:pStyle w:val="Normal"/>
              <w:rPr>
                <w:lang w:val="es-ES"/>
              </w:rPr>
            </w:pPr>
            <w:r w:rsidRPr="2507FE86" w:rsidR="3293D604">
              <w:rPr>
                <w:lang w:val="es-ES"/>
              </w:rPr>
              <w:t xml:space="preserve">¿Cree necesario que en la plataforma las </w:t>
            </w:r>
            <w:r w:rsidRPr="2507FE86" w:rsidR="4ED719A7">
              <w:rPr>
                <w:lang w:val="es-ES"/>
              </w:rPr>
              <w:t>notificaciones</w:t>
            </w:r>
            <w:r w:rsidRPr="2507FE86" w:rsidR="3293D604">
              <w:rPr>
                <w:lang w:val="es-ES"/>
              </w:rPr>
              <w:t xml:space="preserve"> y/o respuestas a las solicitudes se envíen solo a la persona responsable o designada para la </w:t>
            </w:r>
            <w:r w:rsidRPr="2507FE86" w:rsidR="0B2922DF">
              <w:rPr>
                <w:lang w:val="es-ES"/>
              </w:rPr>
              <w:t>tramitación</w:t>
            </w:r>
            <w:r w:rsidRPr="2507FE86" w:rsidR="3293D604">
              <w:rPr>
                <w:lang w:val="es-ES"/>
              </w:rPr>
              <w:t xml:space="preserve"> de determinado caso(folio)?</w:t>
            </w:r>
          </w:p>
        </w:tc>
        <w:tc>
          <w:tcPr>
            <w:tcW w:w="645" w:type="dxa"/>
            <w:tcMar/>
          </w:tcPr>
          <w:p w:rsidR="6657CBC8" w:rsidP="2507FE86" w:rsidRDefault="6657CBC8" w14:paraId="335F5A32" w14:textId="2818AAD2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20</w:t>
            </w:r>
          </w:p>
        </w:tc>
        <w:tc>
          <w:tcPr>
            <w:tcW w:w="675" w:type="dxa"/>
            <w:tcMar/>
          </w:tcPr>
          <w:p w:rsidR="6657CBC8" w:rsidP="2507FE86" w:rsidRDefault="6657CBC8" w14:paraId="64CC9ED5" w14:textId="4CB8AF03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25</w:t>
            </w:r>
          </w:p>
        </w:tc>
      </w:tr>
      <w:tr w:rsidR="2507FE86" w:rsidTr="2507FE86" w14:paraId="2504B067">
        <w:trPr>
          <w:trHeight w:val="300"/>
        </w:trPr>
        <w:tc>
          <w:tcPr>
            <w:tcW w:w="7515" w:type="dxa"/>
            <w:tcMar/>
          </w:tcPr>
          <w:p w:rsidR="6657CBC8" w:rsidP="2507FE86" w:rsidRDefault="6657CBC8" w14:paraId="22B971EB" w14:textId="7060422C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¿Considera necesario añadir una herramienta para ver estadísticas?</w:t>
            </w:r>
          </w:p>
        </w:tc>
        <w:tc>
          <w:tcPr>
            <w:tcW w:w="645" w:type="dxa"/>
            <w:tcMar/>
          </w:tcPr>
          <w:p w:rsidR="6657CBC8" w:rsidP="2507FE86" w:rsidRDefault="6657CBC8" w14:paraId="04574685" w14:textId="791D906D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43</w:t>
            </w:r>
          </w:p>
        </w:tc>
        <w:tc>
          <w:tcPr>
            <w:tcW w:w="675" w:type="dxa"/>
            <w:tcMar/>
          </w:tcPr>
          <w:p w:rsidR="6657CBC8" w:rsidP="2507FE86" w:rsidRDefault="6657CBC8" w14:paraId="6A09FE99" w14:textId="0F1BFA5C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2</w:t>
            </w:r>
          </w:p>
        </w:tc>
      </w:tr>
      <w:tr w:rsidR="2507FE86" w:rsidTr="2507FE86" w14:paraId="3AAF5DB0">
        <w:trPr>
          <w:trHeight w:val="300"/>
        </w:trPr>
        <w:tc>
          <w:tcPr>
            <w:tcW w:w="7515" w:type="dxa"/>
            <w:tcMar/>
          </w:tcPr>
          <w:p w:rsidR="6657CBC8" w:rsidP="2507FE86" w:rsidRDefault="6657CBC8" w14:paraId="26857A27" w14:textId="64B24609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¿Considera necesario habilitar un sistema de seguimiento de amparos, que incluya el acceso al expediente virtual y permita de esta forma identificar cada amparo con su folio de origen?</w:t>
            </w:r>
          </w:p>
        </w:tc>
        <w:tc>
          <w:tcPr>
            <w:tcW w:w="645" w:type="dxa"/>
            <w:tcMar/>
          </w:tcPr>
          <w:p w:rsidR="6657CBC8" w:rsidP="2507FE86" w:rsidRDefault="6657CBC8" w14:paraId="36ECF619" w14:textId="49E8D8D8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45</w:t>
            </w:r>
          </w:p>
        </w:tc>
        <w:tc>
          <w:tcPr>
            <w:tcW w:w="675" w:type="dxa"/>
            <w:tcMar/>
          </w:tcPr>
          <w:p w:rsidR="6657CBC8" w:rsidP="2507FE86" w:rsidRDefault="6657CBC8" w14:paraId="7FFEC09A" w14:textId="00796CAF">
            <w:pPr>
              <w:pStyle w:val="Normal"/>
              <w:rPr>
                <w:lang w:val="es-ES"/>
              </w:rPr>
            </w:pPr>
            <w:r w:rsidRPr="2507FE86" w:rsidR="6657CBC8">
              <w:rPr>
                <w:lang w:val="es-ES"/>
              </w:rPr>
              <w:t>0</w:t>
            </w:r>
          </w:p>
        </w:tc>
      </w:tr>
    </w:tbl>
    <w:p w:rsidR="206A5E5F" w:rsidP="2507FE86" w:rsidRDefault="206A5E5F" w14:paraId="0961ABD3" w14:textId="1112FFE7">
      <w:pPr>
        <w:pStyle w:val="Normal"/>
        <w:rPr>
          <w:lang w:val="es-ES"/>
        </w:rPr>
      </w:pPr>
      <w:r w:rsidRPr="2507FE86" w:rsidR="206A5E5F">
        <w:rPr>
          <w:lang w:val="es-ES"/>
        </w:rPr>
        <w:t xml:space="preserve">Finalmente, en una pregunta abierta </w:t>
      </w:r>
      <w:r w:rsidRPr="2507FE86" w:rsidR="19C3A037">
        <w:rPr>
          <w:lang w:val="es-ES"/>
        </w:rPr>
        <w:t xml:space="preserve">sobre el principal problema del Portal, </w:t>
      </w:r>
      <w:r w:rsidRPr="2507FE86" w:rsidR="206A5E5F">
        <w:rPr>
          <w:lang w:val="es-ES"/>
        </w:rPr>
        <w:t>en la que</w:t>
      </w:r>
      <w:r w:rsidRPr="2507FE86" w:rsidR="206A5E5F">
        <w:rPr>
          <w:lang w:val="es-ES"/>
        </w:rPr>
        <w:t xml:space="preserve"> se consignaron 44 comenta</w:t>
      </w:r>
      <w:r w:rsidRPr="2507FE86" w:rsidR="206A5E5F">
        <w:rPr>
          <w:lang w:val="es-ES"/>
        </w:rPr>
        <w:t xml:space="preserve">rios, </w:t>
      </w:r>
      <w:r w:rsidRPr="2507FE86" w:rsidR="206A5E5F">
        <w:rPr>
          <w:lang w:val="es-ES"/>
        </w:rPr>
        <w:t>desta</w:t>
      </w:r>
      <w:r w:rsidRPr="2507FE86" w:rsidR="613C7168">
        <w:rPr>
          <w:lang w:val="es-ES"/>
        </w:rPr>
        <w:t>can los siguientes elementos:</w:t>
      </w:r>
    </w:p>
    <w:p w:rsidR="613C7168" w:rsidP="2507FE86" w:rsidRDefault="613C7168" w14:paraId="2BB282EF" w14:textId="753AE317">
      <w:pPr>
        <w:pStyle w:val="Prrafodelista"/>
        <w:numPr>
          <w:ilvl w:val="0"/>
          <w:numId w:val="6"/>
        </w:numPr>
        <w:rPr>
          <w:lang w:val="es-ES"/>
        </w:rPr>
      </w:pPr>
      <w:r w:rsidRPr="2507FE86" w:rsidR="613C7168">
        <w:rPr>
          <w:lang w:val="es-ES"/>
        </w:rPr>
        <w:t>Lentitud de la plataforma.</w:t>
      </w:r>
    </w:p>
    <w:p w:rsidR="613C7168" w:rsidP="2507FE86" w:rsidRDefault="613C7168" w14:paraId="32CF7029" w14:textId="2E223F0A">
      <w:pPr>
        <w:pStyle w:val="Prrafodelista"/>
        <w:numPr>
          <w:ilvl w:val="0"/>
          <w:numId w:val="6"/>
        </w:numPr>
        <w:rPr>
          <w:lang w:val="es-ES"/>
        </w:rPr>
      </w:pPr>
      <w:r w:rsidRPr="2507FE86" w:rsidR="613C7168">
        <w:rPr>
          <w:lang w:val="es-ES"/>
        </w:rPr>
        <w:t>Necesidad de reingresar los datos del usuario y contraseña para cada acción.</w:t>
      </w:r>
    </w:p>
    <w:p w:rsidR="613C7168" w:rsidP="2507FE86" w:rsidRDefault="613C7168" w14:paraId="393EC307" w14:textId="0896A7F4">
      <w:pPr>
        <w:pStyle w:val="Prrafodelista"/>
        <w:numPr>
          <w:ilvl w:val="0"/>
          <w:numId w:val="6"/>
        </w:numPr>
        <w:rPr>
          <w:lang w:val="es-ES"/>
        </w:rPr>
      </w:pPr>
      <w:r w:rsidRPr="2507FE86" w:rsidR="613C7168">
        <w:rPr>
          <w:lang w:val="es-ES"/>
        </w:rPr>
        <w:t>Problemas en la carga de archivos.</w:t>
      </w:r>
    </w:p>
    <w:p w:rsidR="613C7168" w:rsidP="2507FE86" w:rsidRDefault="613C7168" w14:paraId="03C9D1D6" w14:textId="13CC960F">
      <w:pPr>
        <w:pStyle w:val="Prrafodelista"/>
        <w:numPr>
          <w:ilvl w:val="0"/>
          <w:numId w:val="6"/>
        </w:numPr>
        <w:rPr>
          <w:lang w:val="es-ES"/>
        </w:rPr>
      </w:pPr>
      <w:r w:rsidRPr="2507FE86" w:rsidR="613C7168">
        <w:rPr>
          <w:lang w:val="es-ES"/>
        </w:rPr>
        <w:t>Problemas</w:t>
      </w:r>
      <w:r w:rsidRPr="2507FE86" w:rsidR="613C7168">
        <w:rPr>
          <w:lang w:val="es-ES"/>
        </w:rPr>
        <w:t xml:space="preserve"> con las derivaciones. </w:t>
      </w:r>
    </w:p>
    <w:sectPr w:rsidRPr="00156230" w:rsidR="002F3F6C" w:rsidSect="00990A62">
      <w:footerReference w:type="default" r:id="rId10"/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A62" w:rsidP="00330C98" w:rsidRDefault="00990A62" w14:paraId="755ECD28" w14:textId="77777777">
      <w:pPr>
        <w:spacing w:before="0" w:after="0" w:line="240" w:lineRule="auto"/>
      </w:pPr>
      <w:r>
        <w:separator/>
      </w:r>
    </w:p>
  </w:endnote>
  <w:endnote w:type="continuationSeparator" w:id="0">
    <w:p w:rsidR="00990A62" w:rsidP="00330C98" w:rsidRDefault="00990A62" w14:paraId="591E2964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990A62" w:rsidRDefault="00990A62" w14:paraId="6D87A88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22555"/>
      <w:docPartObj>
        <w:docPartGallery w:val="Page Numbers (Bottom of Page)"/>
        <w:docPartUnique/>
      </w:docPartObj>
    </w:sdtPr>
    <w:sdtContent>
      <w:p w:rsidR="00330C98" w:rsidRDefault="00330C98" w14:paraId="45A7DEC2" w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330C98" w:rsidRDefault="00330C98" w14:paraId="54199B2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A62" w:rsidP="00330C98" w:rsidRDefault="00990A62" w14:paraId="75B9D3CC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990A62" w:rsidP="00330C98" w:rsidRDefault="00990A62" w14:paraId="7C5AF9D9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990A62" w:rsidRDefault="00990A62" w14:paraId="4CE9276F" w14:textId="77777777">
      <w:pPr>
        <w:spacing w:before="0" w:after="0" w:line="240" w:lineRule="auto"/>
      </w:pPr>
    </w:p>
  </w:footnote>
  <w:footnote w:id="25442">
    <w:p w:rsidR="2507FE86" w:rsidP="2507FE86" w:rsidRDefault="2507FE86" w14:paraId="503DF75A" w14:textId="5E451F4C">
      <w:pPr>
        <w:pStyle w:val="FootnoteText"/>
        <w:bidi w:val="0"/>
      </w:pPr>
      <w:r w:rsidRPr="2507FE86">
        <w:rPr>
          <w:rStyle w:val="FootnoteReference"/>
        </w:rPr>
        <w:footnoteRef/>
      </w:r>
      <w:r w:rsidR="2507FE86">
        <w:rPr/>
        <w:t xml:space="preserve"> Esta pregunta no es concluyente puesto que puede ser que los Servicios no se hayan </w:t>
      </w:r>
      <w:r w:rsidR="2507FE86">
        <w:rPr/>
        <w:t>enfrentado</w:t>
      </w:r>
      <w:r w:rsidR="2507FE86">
        <w:rPr/>
        <w:t xml:space="preserve"> a la necesidad de derivar, por ser competentes para </w:t>
      </w:r>
      <w:r w:rsidR="2507FE86">
        <w:rPr/>
        <w:t xml:space="preserve">responder.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62b4b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0E5118"/>
    <w:multiLevelType w:val="hybridMultilevel"/>
    <w:tmpl w:val="17F67F20"/>
    <w:lvl w:ilvl="0" w:tplc="61988104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140"/>
    <w:multiLevelType w:val="hybridMultilevel"/>
    <w:tmpl w:val="7EC4BB02"/>
    <w:lvl w:ilvl="0" w:tplc="C6B6F148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73F"/>
    <w:multiLevelType w:val="hybridMultilevel"/>
    <w:tmpl w:val="0A68919C"/>
    <w:lvl w:ilvl="0" w:tplc="7AC452A4">
      <w:start w:val="1"/>
      <w:numFmt w:val="lowerRoman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2322"/>
    <w:multiLevelType w:val="hybridMultilevel"/>
    <w:tmpl w:val="74068C38"/>
    <w:lvl w:ilvl="0" w:tplc="22D6B8D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E22951"/>
    <w:multiLevelType w:val="hybridMultilevel"/>
    <w:tmpl w:val="D4E4DDB8"/>
    <w:lvl w:ilvl="0" w:tplc="70387F76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673924070">
    <w:abstractNumId w:val="1"/>
  </w:num>
  <w:num w:numId="2" w16cid:durableId="141194157">
    <w:abstractNumId w:val="4"/>
  </w:num>
  <w:num w:numId="3" w16cid:durableId="2143888583">
    <w:abstractNumId w:val="0"/>
  </w:num>
  <w:num w:numId="4" w16cid:durableId="429546539">
    <w:abstractNumId w:val="2"/>
  </w:num>
  <w:num w:numId="5" w16cid:durableId="17466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A2"/>
    <w:rsid w:val="000A1571"/>
    <w:rsid w:val="000C57BE"/>
    <w:rsid w:val="000D70B7"/>
    <w:rsid w:val="00110480"/>
    <w:rsid w:val="00117BA1"/>
    <w:rsid w:val="00156230"/>
    <w:rsid w:val="00183AD1"/>
    <w:rsid w:val="001969EB"/>
    <w:rsid w:val="001D3067"/>
    <w:rsid w:val="001D56EC"/>
    <w:rsid w:val="002005E6"/>
    <w:rsid w:val="002F3F6C"/>
    <w:rsid w:val="00313FB8"/>
    <w:rsid w:val="0032248C"/>
    <w:rsid w:val="00330C98"/>
    <w:rsid w:val="00391EBA"/>
    <w:rsid w:val="003B3B82"/>
    <w:rsid w:val="003F46BF"/>
    <w:rsid w:val="00401ECE"/>
    <w:rsid w:val="0042703B"/>
    <w:rsid w:val="00451E08"/>
    <w:rsid w:val="00465ACA"/>
    <w:rsid w:val="00475F5B"/>
    <w:rsid w:val="00493B8E"/>
    <w:rsid w:val="004B1CF9"/>
    <w:rsid w:val="004D02DE"/>
    <w:rsid w:val="004E2F63"/>
    <w:rsid w:val="00534328"/>
    <w:rsid w:val="005C0C71"/>
    <w:rsid w:val="006307C5"/>
    <w:rsid w:val="00674F3B"/>
    <w:rsid w:val="006E12E3"/>
    <w:rsid w:val="00711D0A"/>
    <w:rsid w:val="007227A3"/>
    <w:rsid w:val="00772115"/>
    <w:rsid w:val="007F2590"/>
    <w:rsid w:val="00834C1C"/>
    <w:rsid w:val="00834F8A"/>
    <w:rsid w:val="008C5CAD"/>
    <w:rsid w:val="008E1D2D"/>
    <w:rsid w:val="008E3C3A"/>
    <w:rsid w:val="009048FD"/>
    <w:rsid w:val="00931E4E"/>
    <w:rsid w:val="009549F1"/>
    <w:rsid w:val="00970341"/>
    <w:rsid w:val="00990A62"/>
    <w:rsid w:val="009C0540"/>
    <w:rsid w:val="00A04617"/>
    <w:rsid w:val="00A438A2"/>
    <w:rsid w:val="00A5515D"/>
    <w:rsid w:val="00A65E7E"/>
    <w:rsid w:val="00A67924"/>
    <w:rsid w:val="00A76B37"/>
    <w:rsid w:val="00A8145D"/>
    <w:rsid w:val="00AB5233"/>
    <w:rsid w:val="00B61EB4"/>
    <w:rsid w:val="00B93CA4"/>
    <w:rsid w:val="00BA246C"/>
    <w:rsid w:val="00C12589"/>
    <w:rsid w:val="00C51AC1"/>
    <w:rsid w:val="00C61109"/>
    <w:rsid w:val="00C769B4"/>
    <w:rsid w:val="00C83638"/>
    <w:rsid w:val="00CA1ED4"/>
    <w:rsid w:val="00CB496C"/>
    <w:rsid w:val="00CC2C91"/>
    <w:rsid w:val="00CD7722"/>
    <w:rsid w:val="00CF6870"/>
    <w:rsid w:val="00DB3C7B"/>
    <w:rsid w:val="00DC7A3A"/>
    <w:rsid w:val="00E318CE"/>
    <w:rsid w:val="00E333B7"/>
    <w:rsid w:val="00E662D8"/>
    <w:rsid w:val="00E67ADB"/>
    <w:rsid w:val="00E76981"/>
    <w:rsid w:val="00E93E7C"/>
    <w:rsid w:val="00F53F6D"/>
    <w:rsid w:val="00F613F7"/>
    <w:rsid w:val="00F83FCB"/>
    <w:rsid w:val="00FD1A6B"/>
    <w:rsid w:val="00FF17BA"/>
    <w:rsid w:val="01EAE696"/>
    <w:rsid w:val="02654BFB"/>
    <w:rsid w:val="02A1B2C7"/>
    <w:rsid w:val="030512CF"/>
    <w:rsid w:val="034AEB98"/>
    <w:rsid w:val="03B7B924"/>
    <w:rsid w:val="059CECBD"/>
    <w:rsid w:val="05A8E1A3"/>
    <w:rsid w:val="063ABA58"/>
    <w:rsid w:val="07BC3EE9"/>
    <w:rsid w:val="08D48D7F"/>
    <w:rsid w:val="09AD80F0"/>
    <w:rsid w:val="0B2922DF"/>
    <w:rsid w:val="0B2B4FE7"/>
    <w:rsid w:val="0B7446F9"/>
    <w:rsid w:val="0E6FC3A0"/>
    <w:rsid w:val="0F7A3342"/>
    <w:rsid w:val="0F913E62"/>
    <w:rsid w:val="104EBBFF"/>
    <w:rsid w:val="12C8DF24"/>
    <w:rsid w:val="12F9DCF6"/>
    <w:rsid w:val="14E26F79"/>
    <w:rsid w:val="161503A9"/>
    <w:rsid w:val="16373B70"/>
    <w:rsid w:val="19C3A037"/>
    <w:rsid w:val="1A560B11"/>
    <w:rsid w:val="1AFF8FB6"/>
    <w:rsid w:val="1BA0A974"/>
    <w:rsid w:val="20348D63"/>
    <w:rsid w:val="206441D9"/>
    <w:rsid w:val="206A5E5F"/>
    <w:rsid w:val="207D5828"/>
    <w:rsid w:val="207E69EB"/>
    <w:rsid w:val="20968085"/>
    <w:rsid w:val="214B2013"/>
    <w:rsid w:val="214D9807"/>
    <w:rsid w:val="222E7C28"/>
    <w:rsid w:val="23592FA6"/>
    <w:rsid w:val="239B846C"/>
    <w:rsid w:val="24CA7C96"/>
    <w:rsid w:val="2507FE86"/>
    <w:rsid w:val="267410D1"/>
    <w:rsid w:val="26EC99AC"/>
    <w:rsid w:val="26FCB7A1"/>
    <w:rsid w:val="2783C769"/>
    <w:rsid w:val="27BC6864"/>
    <w:rsid w:val="27F63C10"/>
    <w:rsid w:val="2C19E59C"/>
    <w:rsid w:val="2D2BCE18"/>
    <w:rsid w:val="2D5BDB30"/>
    <w:rsid w:val="2D6BF685"/>
    <w:rsid w:val="2EFF9917"/>
    <w:rsid w:val="30937BF2"/>
    <w:rsid w:val="323739D9"/>
    <w:rsid w:val="3293D604"/>
    <w:rsid w:val="33CB1CB4"/>
    <w:rsid w:val="342CB1AA"/>
    <w:rsid w:val="34E9A782"/>
    <w:rsid w:val="3694A451"/>
    <w:rsid w:val="36BC44FE"/>
    <w:rsid w:val="370AAAFC"/>
    <w:rsid w:val="37A913A1"/>
    <w:rsid w:val="38BC2B85"/>
    <w:rsid w:val="3A281956"/>
    <w:rsid w:val="3A5269B3"/>
    <w:rsid w:val="3A7179B9"/>
    <w:rsid w:val="3BE2C0B9"/>
    <w:rsid w:val="3C6C8C4C"/>
    <w:rsid w:val="3CC0E724"/>
    <w:rsid w:val="3D83EF40"/>
    <w:rsid w:val="3E8C897F"/>
    <w:rsid w:val="3EE37E35"/>
    <w:rsid w:val="3FE8E0A6"/>
    <w:rsid w:val="401ED1CF"/>
    <w:rsid w:val="40E24660"/>
    <w:rsid w:val="4184B107"/>
    <w:rsid w:val="41945847"/>
    <w:rsid w:val="41D8927B"/>
    <w:rsid w:val="426A072E"/>
    <w:rsid w:val="4934E8EF"/>
    <w:rsid w:val="4A2A55AD"/>
    <w:rsid w:val="4A2D17CE"/>
    <w:rsid w:val="4A2DF4D4"/>
    <w:rsid w:val="4B634E4F"/>
    <w:rsid w:val="4C3CAC82"/>
    <w:rsid w:val="4CECA776"/>
    <w:rsid w:val="4D185006"/>
    <w:rsid w:val="4DD87CE3"/>
    <w:rsid w:val="4ED719A7"/>
    <w:rsid w:val="4EDEE9E9"/>
    <w:rsid w:val="4EE90518"/>
    <w:rsid w:val="4F501B56"/>
    <w:rsid w:val="511D1889"/>
    <w:rsid w:val="51892345"/>
    <w:rsid w:val="51A24BA2"/>
    <w:rsid w:val="52ABEE06"/>
    <w:rsid w:val="554A8F7B"/>
    <w:rsid w:val="5675BCC5"/>
    <w:rsid w:val="56AC52F1"/>
    <w:rsid w:val="56B3834F"/>
    <w:rsid w:val="58047AAC"/>
    <w:rsid w:val="58118D26"/>
    <w:rsid w:val="5969B8EC"/>
    <w:rsid w:val="5B2414BB"/>
    <w:rsid w:val="5BB125DF"/>
    <w:rsid w:val="5BCEC425"/>
    <w:rsid w:val="5C830B27"/>
    <w:rsid w:val="5D9F99F3"/>
    <w:rsid w:val="5E592262"/>
    <w:rsid w:val="5E98EF80"/>
    <w:rsid w:val="5FC7E110"/>
    <w:rsid w:val="613263E5"/>
    <w:rsid w:val="613C7168"/>
    <w:rsid w:val="63543FCD"/>
    <w:rsid w:val="6472CA9B"/>
    <w:rsid w:val="658CD712"/>
    <w:rsid w:val="65BC71A1"/>
    <w:rsid w:val="6633FF09"/>
    <w:rsid w:val="6657CBC8"/>
    <w:rsid w:val="6710C827"/>
    <w:rsid w:val="67AA6B5D"/>
    <w:rsid w:val="693A35B5"/>
    <w:rsid w:val="69AF223C"/>
    <w:rsid w:val="69B2467A"/>
    <w:rsid w:val="6C1F13DF"/>
    <w:rsid w:val="6C39EC48"/>
    <w:rsid w:val="6E8E286A"/>
    <w:rsid w:val="6F0F99E8"/>
    <w:rsid w:val="70FA7A52"/>
    <w:rsid w:val="72C9C6D6"/>
    <w:rsid w:val="75E0CE8E"/>
    <w:rsid w:val="791B4706"/>
    <w:rsid w:val="798FCC9C"/>
    <w:rsid w:val="7ABC2D37"/>
    <w:rsid w:val="7AF31C0C"/>
    <w:rsid w:val="7C1A29E6"/>
    <w:rsid w:val="7D619FFC"/>
    <w:rsid w:val="7DEBE073"/>
    <w:rsid w:val="7DFC1231"/>
    <w:rsid w:val="7EA20A7E"/>
    <w:rsid w:val="7E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7F3E"/>
  <w15:chartTrackingRefBased/>
  <w15:docId w15:val="{DBFE7571-1A98-4C4C-85A2-A4CFD8C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D3067"/>
    <w:pPr>
      <w:keepNext/>
      <w:keepLines/>
      <w:numPr>
        <w:numId w:val="1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2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4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D3067"/>
    <w:rPr>
      <w:rFonts w:ascii="Arial" w:hAnsi="Arial" w:eastAsiaTheme="majorEastAsia" w:cstheme="majorBidi"/>
      <w:b/>
      <w:caps/>
      <w:szCs w:val="32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1D3067"/>
    <w:rPr>
      <w:rFonts w:ascii="Arial" w:hAnsi="Arial" w:eastAsiaTheme="majorEastAsia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3"/>
      </w:numPr>
    </w:pPr>
    <w:rPr>
      <w:rFonts w:eastAsiaTheme="majorEastAsia" w:cstheme="majorBidi"/>
      <w:b/>
      <w:spacing w:val="-10"/>
      <w:kern w:val="28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53F6D"/>
    <w:rPr>
      <w:rFonts w:ascii="Arial" w:hAnsi="Arial" w:eastAsiaTheme="majorEastAsia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styleId="Ttulo3Car" w:customStyle="1">
    <w:name w:val="Título 3 Car"/>
    <w:basedOn w:val="Fuentedeprrafopredeter"/>
    <w:link w:val="Ttulo3"/>
    <w:uiPriority w:val="9"/>
    <w:rsid w:val="001D3067"/>
    <w:rPr>
      <w:rFonts w:ascii="Arial" w:hAnsi="Arial" w:eastAsiaTheme="majorEastAsia" w:cstheme="majorBidi"/>
      <w:b/>
      <w:spacing w:val="-10"/>
      <w:kern w:val="28"/>
      <w:szCs w:val="56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rsid w:val="001D3067"/>
    <w:rPr>
      <w:rFonts w:ascii="Arial" w:hAnsi="Arial" w:eastAsiaTheme="majorEastAsia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paragraph" w:styleId="paragraph" w:customStyle="1">
    <w:name w:val="paragraph"/>
    <w:basedOn w:val="Normal"/>
    <w:rsid w:val="00A438A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character" w:styleId="normaltextrun" w:customStyle="1">
    <w:name w:val="normaltextrun"/>
    <w:basedOn w:val="Fuentedeprrafopredeter"/>
    <w:rsid w:val="00A438A2"/>
  </w:style>
  <w:style w:type="character" w:styleId="eop" w:customStyle="1">
    <w:name w:val="eop"/>
    <w:basedOn w:val="Fuentedeprrafopredeter"/>
    <w:rsid w:val="00A438A2"/>
  </w:style>
  <w:style w:type="paragraph" w:styleId="Prrafodelista">
    <w:name w:val="List Paragraph"/>
    <w:basedOn w:val="Normal"/>
    <w:uiPriority w:val="34"/>
    <w:qFormat/>
    <w:rsid w:val="008E1D2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uentedeprrafopredeter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Fuentedeprrafopredeter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5dd8ba31470b45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yton\OneDrive%20-%20Ministerio%20Secretar&#237;a%20General%20de%20la%20Presidencia\Documents\Plantillas%20personalizadas%20de%20Office\Plantilla%20minuta%202023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a60b-00c1-4aa5-8abd-9bdd94934937}"/>
      </w:docPartPr>
      <w:docPartBody>
        <w:p w14:paraId="62F4B9B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Denysse Rivas Cabrera</DisplayName>
        <AccountId>44</AccountId>
        <AccountType/>
      </UserInfo>
      <UserInfo>
        <DisplayName>Omar Ignacio Herrera Sánchez</DisplayName>
        <AccountId>729</AccountId>
        <AccountType/>
      </UserInfo>
      <UserInfo>
        <DisplayName>Alex John Leyton Núñez</DisplayName>
        <AccountId>681</AccountId>
        <AccountType/>
      </UserInfo>
      <UserInfo>
        <DisplayName>Matías Ignacio Clarke Rivero</DisplayName>
        <AccountId>63</AccountId>
        <AccountType/>
      </UserInfo>
      <UserInfo>
        <DisplayName>Gabriela Reinero Núñez</DisplayName>
        <AccountId>611</AccountId>
        <AccountType/>
      </UserInfo>
      <UserInfo>
        <DisplayName>Valeria Lübbert Álvarez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8" ma:contentTypeDescription="Create a new document." ma:contentTypeScope="" ma:versionID="ab2fedd2aa51df78928141c994a81c91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da7156c3368646a76d1a3a40aca384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D23C7-440F-4FFF-B5DF-F0015BAF2E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 minuta 2023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Leyton Núñez</dc:creator>
  <keywords/>
  <dc:description/>
  <lastModifiedBy>Gabriela Reinero Núñez</lastModifiedBy>
  <revision>54</revision>
  <dcterms:created xsi:type="dcterms:W3CDTF">2024-02-19T14:48:00.0000000Z</dcterms:created>
  <dcterms:modified xsi:type="dcterms:W3CDTF">2024-05-03T19:55:07.1629870Z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