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C1C0" w14:textId="3A5C3023" w:rsidR="00B93CA4" w:rsidRPr="00FF17BA" w:rsidRDefault="002F3F6C" w:rsidP="00FF17BA">
      <w:pPr>
        <w:jc w:val="center"/>
        <w:rPr>
          <w:sz w:val="18"/>
          <w:szCs w:val="18"/>
          <w:lang w:val="es-ES"/>
        </w:rPr>
      </w:pPr>
      <w:r w:rsidRPr="000D70B7">
        <w:rPr>
          <w:sz w:val="18"/>
          <w:szCs w:val="18"/>
          <w:lang w:val="es-ES"/>
        </w:rPr>
        <w:t>Minuta</w:t>
      </w:r>
      <w:r w:rsidR="006E12E3">
        <w:rPr>
          <w:sz w:val="18"/>
          <w:szCs w:val="18"/>
          <w:lang w:val="es-ES"/>
        </w:rPr>
        <w:t xml:space="preserve"> CIPYT</w:t>
      </w:r>
      <w:r w:rsidRPr="000D70B7">
        <w:rPr>
          <w:sz w:val="18"/>
          <w:szCs w:val="18"/>
          <w:lang w:val="es-ES"/>
        </w:rPr>
        <w:t>/</w:t>
      </w:r>
      <w:r w:rsidR="00BE056E">
        <w:rPr>
          <w:sz w:val="18"/>
          <w:szCs w:val="18"/>
          <w:lang w:val="es-ES"/>
        </w:rPr>
        <w:t>27</w:t>
      </w:r>
      <w:r w:rsidRPr="000D70B7">
        <w:rPr>
          <w:sz w:val="18"/>
          <w:szCs w:val="18"/>
          <w:lang w:val="es-ES"/>
        </w:rPr>
        <w:t>.</w:t>
      </w:r>
      <w:r w:rsidR="00BE056E">
        <w:rPr>
          <w:sz w:val="18"/>
          <w:szCs w:val="18"/>
          <w:lang w:val="es-ES"/>
        </w:rPr>
        <w:t>02</w:t>
      </w:r>
      <w:r w:rsidRPr="000D70B7">
        <w:rPr>
          <w:sz w:val="18"/>
          <w:szCs w:val="18"/>
          <w:lang w:val="es-ES"/>
        </w:rPr>
        <w:t>.</w:t>
      </w:r>
      <w:r w:rsidR="00BE056E">
        <w:rPr>
          <w:sz w:val="18"/>
          <w:szCs w:val="18"/>
          <w:lang w:val="es-ES"/>
        </w:rPr>
        <w:t>2024</w:t>
      </w:r>
      <w:r w:rsidRPr="000D70B7">
        <w:rPr>
          <w:sz w:val="18"/>
          <w:szCs w:val="18"/>
          <w:lang w:val="es-ES"/>
        </w:rPr>
        <w:t>/</w:t>
      </w:r>
      <w:r w:rsidR="00BE056E">
        <w:rPr>
          <w:sz w:val="18"/>
          <w:szCs w:val="18"/>
          <w:lang w:val="es-ES"/>
        </w:rPr>
        <w:t>GOM</w:t>
      </w:r>
      <w:r w:rsidR="008E5819">
        <w:rPr>
          <w:sz w:val="18"/>
          <w:szCs w:val="18"/>
          <w:lang w:val="es-ES"/>
        </w:rPr>
        <w:t>-ALN</w:t>
      </w:r>
    </w:p>
    <w:p w14:paraId="434D8C8F" w14:textId="39D5DCA9" w:rsidR="00772115" w:rsidRPr="00FF17BA" w:rsidRDefault="002823EC" w:rsidP="00FF17BA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COMENTARIOS INFORME OBSERVATORIO JUDICIAL</w:t>
      </w:r>
    </w:p>
    <w:p w14:paraId="3490F551" w14:textId="035349F8" w:rsidR="005C697F" w:rsidRDefault="001D2DDC" w:rsidP="00FF17BA">
      <w:pPr>
        <w:pStyle w:val="Heading1"/>
        <w:spacing w:before="120"/>
        <w:ind w:left="0" w:firstLine="0"/>
      </w:pPr>
      <w:r>
        <w:t>introducción</w:t>
      </w:r>
    </w:p>
    <w:p w14:paraId="61CBA408" w14:textId="1317E370" w:rsidR="00FD64C5" w:rsidRDefault="00A745A8" w:rsidP="00FD64C5">
      <w:pPr>
        <w:rPr>
          <w:lang w:val="es-ES"/>
        </w:rPr>
      </w:pPr>
      <w:r>
        <w:rPr>
          <w:lang w:val="es-ES"/>
        </w:rPr>
        <w:t>El informe</w:t>
      </w:r>
      <w:r w:rsidR="005C5241">
        <w:rPr>
          <w:lang w:val="es-ES"/>
        </w:rPr>
        <w:t xml:space="preserve"> “Persecución de la Corrupción”</w:t>
      </w:r>
      <w:r w:rsidR="005C5241">
        <w:rPr>
          <w:rStyle w:val="FootnoteReference"/>
          <w:lang w:val="es-ES"/>
        </w:rPr>
        <w:footnoteReference w:id="2"/>
      </w:r>
      <w:r>
        <w:rPr>
          <w:lang w:val="es-ES"/>
        </w:rPr>
        <w:t xml:space="preserve"> del Observatorio Judicial </w:t>
      </w:r>
      <w:r w:rsidR="005C5241">
        <w:rPr>
          <w:lang w:val="es-ES"/>
        </w:rPr>
        <w:t xml:space="preserve">realiza un análisis a partir de los resultados judiciales </w:t>
      </w:r>
      <w:r w:rsidR="001D2DDC">
        <w:rPr>
          <w:lang w:val="es-ES"/>
        </w:rPr>
        <w:t xml:space="preserve">de los delitos funcionarios. El informe explora </w:t>
      </w:r>
      <w:r w:rsidR="001D2DDC" w:rsidRPr="001D2DDC">
        <w:rPr>
          <w:lang w:val="es-ES"/>
        </w:rPr>
        <w:t>la evolución de la persecución penal de los delitos</w:t>
      </w:r>
      <w:r w:rsidR="001D2DDC">
        <w:rPr>
          <w:lang w:val="es-ES"/>
        </w:rPr>
        <w:t xml:space="preserve"> </w:t>
      </w:r>
      <w:r w:rsidR="001D2DDC" w:rsidRPr="001D2DDC">
        <w:rPr>
          <w:lang w:val="es-ES"/>
        </w:rPr>
        <w:t xml:space="preserve">funcionarios durante el período 2004-2022 </w:t>
      </w:r>
      <w:r w:rsidR="001D2DDC">
        <w:rPr>
          <w:lang w:val="es-ES"/>
        </w:rPr>
        <w:t>“</w:t>
      </w:r>
      <w:r w:rsidR="001D2DDC" w:rsidRPr="001D2DDC">
        <w:rPr>
          <w:lang w:val="es-ES"/>
        </w:rPr>
        <w:t>con el fin de tener una radiografía sobre la</w:t>
      </w:r>
      <w:r w:rsidR="001D2DDC">
        <w:rPr>
          <w:lang w:val="es-ES"/>
        </w:rPr>
        <w:t xml:space="preserve"> </w:t>
      </w:r>
      <w:r w:rsidR="001D2DDC" w:rsidRPr="001D2DDC">
        <w:rPr>
          <w:lang w:val="es-ES"/>
        </w:rPr>
        <w:t>efectividad punitiva del Estado contra la corrupción</w:t>
      </w:r>
      <w:r w:rsidR="001D2DDC">
        <w:rPr>
          <w:lang w:val="es-ES"/>
        </w:rPr>
        <w:t>”</w:t>
      </w:r>
      <w:r w:rsidR="001D2DDC" w:rsidRPr="001D2DDC">
        <w:rPr>
          <w:lang w:val="es-ES"/>
        </w:rPr>
        <w:t>.</w:t>
      </w:r>
      <w:r w:rsidR="006F2FFE">
        <w:rPr>
          <w:lang w:val="es-ES"/>
        </w:rPr>
        <w:t xml:space="preserve"> Por ejemplo, el informe analiza los </w:t>
      </w:r>
      <w:r w:rsidR="00FD64C5">
        <w:rPr>
          <w:lang w:val="es-ES"/>
        </w:rPr>
        <w:t xml:space="preserve">términos de esos delitos, y en particular si poseen salidas </w:t>
      </w:r>
      <w:r w:rsidR="001D2DDC" w:rsidRPr="001D2DDC">
        <w:rPr>
          <w:lang w:val="es-ES"/>
        </w:rPr>
        <w:t>judicial</w:t>
      </w:r>
      <w:r w:rsidR="00FD64C5">
        <w:rPr>
          <w:lang w:val="es-ES"/>
        </w:rPr>
        <w:t>es</w:t>
      </w:r>
      <w:r w:rsidR="001D2DDC" w:rsidRPr="001D2DDC">
        <w:rPr>
          <w:lang w:val="es-ES"/>
        </w:rPr>
        <w:t xml:space="preserve"> o no judicial</w:t>
      </w:r>
      <w:r w:rsidR="00FD64C5">
        <w:rPr>
          <w:lang w:val="es-ES"/>
        </w:rPr>
        <w:t>es</w:t>
      </w:r>
      <w:r w:rsidR="00792A04">
        <w:rPr>
          <w:rStyle w:val="FootnoteReference"/>
          <w:lang w:val="es-ES"/>
        </w:rPr>
        <w:footnoteReference w:id="3"/>
      </w:r>
      <w:r w:rsidR="001D2DDC" w:rsidRPr="001D2DDC">
        <w:rPr>
          <w:lang w:val="es-ES"/>
        </w:rPr>
        <w:t xml:space="preserve">. </w:t>
      </w:r>
    </w:p>
    <w:p w14:paraId="28F291FD" w14:textId="2B80F51A" w:rsidR="00A745A8" w:rsidRPr="00A745A8" w:rsidRDefault="00E20265" w:rsidP="00E20265">
      <w:pPr>
        <w:rPr>
          <w:lang w:val="es-ES"/>
        </w:rPr>
      </w:pPr>
      <w:r>
        <w:rPr>
          <w:lang w:val="es-ES"/>
        </w:rPr>
        <w:t>El</w:t>
      </w:r>
      <w:r w:rsidR="00FD64C5">
        <w:rPr>
          <w:lang w:val="es-ES"/>
        </w:rPr>
        <w:t xml:space="preserve"> informe relaciona los </w:t>
      </w:r>
      <w:r>
        <w:rPr>
          <w:lang w:val="es-ES"/>
        </w:rPr>
        <w:t>resultados judiciales</w:t>
      </w:r>
      <w:r w:rsidR="00DB1CF8">
        <w:rPr>
          <w:lang w:val="es-ES"/>
        </w:rPr>
        <w:t xml:space="preserve"> con los puntajes obtenidos por Chile en las últimas entregas del</w:t>
      </w:r>
      <w:r w:rsidR="001D2DDC" w:rsidRPr="001D2DDC">
        <w:rPr>
          <w:lang w:val="es-ES"/>
        </w:rPr>
        <w:t xml:space="preserve"> Índice de Percepción de Corrupción</w:t>
      </w:r>
      <w:r w:rsidR="00DB1CF8">
        <w:rPr>
          <w:lang w:val="es-ES"/>
        </w:rPr>
        <w:t xml:space="preserve">, en los cuales Chile no ha </w:t>
      </w:r>
      <w:r w:rsidR="00DB1CF8" w:rsidRPr="001D2DDC">
        <w:rPr>
          <w:lang w:val="es-ES"/>
        </w:rPr>
        <w:t>logrado mejorar sus índices</w:t>
      </w:r>
      <w:r w:rsidR="001D2DDC" w:rsidRPr="001D2DDC">
        <w:rPr>
          <w:lang w:val="es-ES"/>
        </w:rPr>
        <w:t xml:space="preserve"> en los último</w:t>
      </w:r>
      <w:r w:rsidR="00DB1CF8">
        <w:rPr>
          <w:lang w:val="es-ES"/>
        </w:rPr>
        <w:t>s</w:t>
      </w:r>
      <w:r w:rsidR="001D2DDC" w:rsidRPr="001D2DDC">
        <w:rPr>
          <w:lang w:val="es-ES"/>
        </w:rPr>
        <w:t xml:space="preserve"> cinco años</w:t>
      </w:r>
      <w:r w:rsidR="00DB1CF8">
        <w:rPr>
          <w:lang w:val="es-ES"/>
        </w:rPr>
        <w:t xml:space="preserve"> y </w:t>
      </w:r>
      <w:r>
        <w:rPr>
          <w:lang w:val="es-ES"/>
        </w:rPr>
        <w:t xml:space="preserve">muestra </w:t>
      </w:r>
      <w:r w:rsidRPr="001D2DDC">
        <w:rPr>
          <w:lang w:val="es-ES"/>
        </w:rPr>
        <w:t>una</w:t>
      </w:r>
      <w:r w:rsidR="00DB1CF8">
        <w:rPr>
          <w:lang w:val="es-ES"/>
        </w:rPr>
        <w:t xml:space="preserve"> situación de estancamiento. </w:t>
      </w:r>
      <w:r>
        <w:rPr>
          <w:lang w:val="es-ES"/>
        </w:rPr>
        <w:t xml:space="preserve">El informe señala que la </w:t>
      </w:r>
      <w:r w:rsidRPr="00E20265">
        <w:rPr>
          <w:lang w:val="es-ES"/>
        </w:rPr>
        <w:t xml:space="preserve">eficacia punitiva en aquellos delitos que la Fiscalía denomina delitos funcionarios es </w:t>
      </w:r>
      <w:r>
        <w:rPr>
          <w:lang w:val="es-ES"/>
        </w:rPr>
        <w:t>“</w:t>
      </w:r>
      <w:r w:rsidRPr="00E20265">
        <w:rPr>
          <w:lang w:val="es-ES"/>
        </w:rPr>
        <w:t>baja</w:t>
      </w:r>
      <w:r>
        <w:rPr>
          <w:lang w:val="es-ES"/>
        </w:rPr>
        <w:t xml:space="preserve">”, puesto que solo un </w:t>
      </w:r>
      <w:r w:rsidRPr="00E20265">
        <w:rPr>
          <w:lang w:val="es-ES"/>
        </w:rPr>
        <w:t>11%</w:t>
      </w:r>
      <w:r w:rsidR="002B65D4">
        <w:rPr>
          <w:rStyle w:val="FootnoteReference"/>
          <w:lang w:val="es-ES"/>
        </w:rPr>
        <w:footnoteReference w:id="4"/>
      </w:r>
      <w:r w:rsidRPr="00E20265">
        <w:rPr>
          <w:lang w:val="es-ES"/>
        </w:rPr>
        <w:t xml:space="preserve"> de las causas han terminado con sentencia condenatoria</w:t>
      </w:r>
      <w:r w:rsidR="4A5BF99E" w:rsidRPr="00E20265">
        <w:rPr>
          <w:lang w:val="es-ES"/>
        </w:rPr>
        <w:t xml:space="preserve"> en el </w:t>
      </w:r>
      <w:r w:rsidR="00113310">
        <w:rPr>
          <w:lang w:val="es-ES"/>
        </w:rPr>
        <w:t>per</w:t>
      </w:r>
      <w:r w:rsidR="001F671C">
        <w:rPr>
          <w:lang w:val="es-ES"/>
        </w:rPr>
        <w:t>í</w:t>
      </w:r>
      <w:r w:rsidR="00113310">
        <w:rPr>
          <w:lang w:val="es-ES"/>
        </w:rPr>
        <w:t>odo 2004-</w:t>
      </w:r>
      <w:r w:rsidR="508EFB07" w:rsidRPr="00E20265">
        <w:rPr>
          <w:lang w:val="es-ES"/>
        </w:rPr>
        <w:t>2022</w:t>
      </w:r>
      <w:r>
        <w:rPr>
          <w:lang w:val="es-ES"/>
        </w:rPr>
        <w:t>.</w:t>
      </w:r>
    </w:p>
    <w:p w14:paraId="722182CA" w14:textId="26B86705" w:rsidR="0036758F" w:rsidRDefault="0036758F" w:rsidP="00FF17BA">
      <w:pPr>
        <w:pStyle w:val="Heading1"/>
        <w:spacing w:before="120"/>
        <w:ind w:left="0" w:firstLine="0"/>
      </w:pPr>
      <w:r>
        <w:t>Análisis</w:t>
      </w:r>
    </w:p>
    <w:p w14:paraId="52EC08E4" w14:textId="0AE0D25B" w:rsidR="0036758F" w:rsidRDefault="0036758F" w:rsidP="0036758F">
      <w:pPr>
        <w:pStyle w:val="Heading2"/>
        <w:rPr>
          <w:lang w:val="es-ES"/>
        </w:rPr>
      </w:pPr>
      <w:r>
        <w:rPr>
          <w:lang w:val="es-ES"/>
        </w:rPr>
        <w:t xml:space="preserve">Relación </w:t>
      </w:r>
      <w:r w:rsidR="003E1F04">
        <w:rPr>
          <w:lang w:val="es-ES"/>
        </w:rPr>
        <w:t xml:space="preserve">de </w:t>
      </w:r>
      <w:r>
        <w:rPr>
          <w:lang w:val="es-ES"/>
        </w:rPr>
        <w:t xml:space="preserve">resultados judiciales </w:t>
      </w:r>
      <w:r w:rsidR="003E1F04">
        <w:rPr>
          <w:lang w:val="es-ES"/>
        </w:rPr>
        <w:t>con</w:t>
      </w:r>
      <w:r>
        <w:rPr>
          <w:lang w:val="es-ES"/>
        </w:rPr>
        <w:t xml:space="preserve"> Índice Percepción de la Corrupción</w:t>
      </w:r>
    </w:p>
    <w:p w14:paraId="78CD5F8B" w14:textId="7F0DAF59" w:rsidR="00C90D2F" w:rsidRDefault="00C90D2F" w:rsidP="00C90D2F">
      <w:pPr>
        <w:rPr>
          <w:lang w:val="es-ES"/>
        </w:rPr>
      </w:pPr>
      <w:r>
        <w:rPr>
          <w:lang w:val="es-ES"/>
        </w:rPr>
        <w:t xml:space="preserve">El informe sugiere una relación entre las tendencias de los </w:t>
      </w:r>
      <w:r w:rsidR="007B12CD">
        <w:rPr>
          <w:lang w:val="es-ES"/>
        </w:rPr>
        <w:t>resultados judiciales con los resultados recientes de Chile en el Índice de Percepción de la Corrupción</w:t>
      </w:r>
      <w:r w:rsidR="00350F7E">
        <w:rPr>
          <w:lang w:val="es-ES"/>
        </w:rPr>
        <w:t xml:space="preserve"> (CPI por sus siglas en inglés)</w:t>
      </w:r>
      <w:r w:rsidR="007B12CD">
        <w:rPr>
          <w:lang w:val="es-ES"/>
        </w:rPr>
        <w:t xml:space="preserve">. </w:t>
      </w:r>
      <w:r w:rsidR="00FF411F">
        <w:rPr>
          <w:lang w:val="es-ES"/>
        </w:rPr>
        <w:t xml:space="preserve">Sin embargo, si bien los resultados de ambos ejercicios podrían verse </w:t>
      </w:r>
      <w:r w:rsidR="00FF411F" w:rsidRPr="1D6B9515">
        <w:rPr>
          <w:lang w:val="es-ES"/>
        </w:rPr>
        <w:t>c</w:t>
      </w:r>
      <w:r w:rsidR="6AF63EFA" w:rsidRPr="1D6B9515">
        <w:rPr>
          <w:lang w:val="es-ES"/>
        </w:rPr>
        <w:t>or</w:t>
      </w:r>
      <w:r w:rsidR="00FF411F" w:rsidRPr="1D6B9515">
        <w:rPr>
          <w:lang w:val="es-ES"/>
        </w:rPr>
        <w:t>relacionados</w:t>
      </w:r>
      <w:r w:rsidR="00FF411F">
        <w:rPr>
          <w:lang w:val="es-ES"/>
        </w:rPr>
        <w:t xml:space="preserve"> en un sentido abstracto (al estudiar </w:t>
      </w:r>
      <w:r w:rsidR="00350F7E">
        <w:rPr>
          <w:lang w:val="es-ES"/>
        </w:rPr>
        <w:t xml:space="preserve">distintos componentes de un mismo fenómeno), no es posible sugerir una relación de causalidad entre los resultados judiciales y las percepciones de corrupción. </w:t>
      </w:r>
      <w:r w:rsidR="52BB6F8C" w:rsidRPr="1D6B9515">
        <w:rPr>
          <w:lang w:val="es-ES"/>
        </w:rPr>
        <w:t>De la misma manera</w:t>
      </w:r>
      <w:r w:rsidR="00350F7E">
        <w:rPr>
          <w:lang w:val="es-ES"/>
        </w:rPr>
        <w:t xml:space="preserve">, </w:t>
      </w:r>
      <w:r w:rsidR="0024082C">
        <w:rPr>
          <w:lang w:val="es-ES"/>
        </w:rPr>
        <w:t>un análisis de las tendencias recientes muestra</w:t>
      </w:r>
      <w:r w:rsidR="00350F7E">
        <w:rPr>
          <w:lang w:val="es-ES"/>
        </w:rPr>
        <w:t xml:space="preserve"> que estos indicadores tampoco se han movido en la misma dirección durante el periodo estudiado</w:t>
      </w:r>
      <w:r w:rsidR="32650803" w:rsidRPr="1D6B9515">
        <w:rPr>
          <w:lang w:val="es-ES"/>
        </w:rPr>
        <w:t xml:space="preserve"> por el informe</w:t>
      </w:r>
      <w:r w:rsidR="00350F7E">
        <w:rPr>
          <w:lang w:val="es-ES"/>
        </w:rPr>
        <w:t xml:space="preserve">. </w:t>
      </w:r>
    </w:p>
    <w:p w14:paraId="70FC0D4D" w14:textId="134B332C" w:rsidR="0096083E" w:rsidRPr="00792A04" w:rsidRDefault="00350F7E" w:rsidP="00792A04">
      <w:pPr>
        <w:rPr>
          <w:rFonts w:cs="Arial"/>
          <w:lang w:val="es-ES"/>
        </w:rPr>
      </w:pPr>
      <w:r w:rsidRPr="00792A04">
        <w:rPr>
          <w:rFonts w:cs="Arial"/>
          <w:lang w:val="es-ES"/>
        </w:rPr>
        <w:t xml:space="preserve">Por un lado, es importante destacar que el </w:t>
      </w:r>
      <w:r w:rsidR="00D13501" w:rsidRPr="00792A04">
        <w:rPr>
          <w:rFonts w:cs="Arial"/>
          <w:lang w:val="es-ES"/>
        </w:rPr>
        <w:t xml:space="preserve">CPI se </w:t>
      </w:r>
      <w:r w:rsidR="0096083E" w:rsidRPr="00792A04">
        <w:rPr>
          <w:rFonts w:cs="Arial"/>
          <w:lang w:val="es-ES"/>
        </w:rPr>
        <w:t xml:space="preserve">construye desde </w:t>
      </w:r>
      <w:r w:rsidR="00D13501" w:rsidRPr="00792A04">
        <w:rPr>
          <w:rFonts w:cs="Arial"/>
          <w:lang w:val="es-ES"/>
        </w:rPr>
        <w:t xml:space="preserve">una </w:t>
      </w:r>
      <w:r w:rsidR="0096083E" w:rsidRPr="00792A04">
        <w:rPr>
          <w:rFonts w:cs="Arial"/>
          <w:lang w:val="es-ES"/>
        </w:rPr>
        <w:t>percepción</w:t>
      </w:r>
      <w:r w:rsidR="00D13501" w:rsidRPr="00792A04">
        <w:rPr>
          <w:rFonts w:cs="Arial"/>
          <w:lang w:val="es-ES"/>
        </w:rPr>
        <w:t xml:space="preserve"> general de la corrupción</w:t>
      </w:r>
      <w:r w:rsidR="0096083E" w:rsidRPr="00792A04">
        <w:rPr>
          <w:rFonts w:cs="Arial"/>
          <w:lang w:val="es-ES"/>
        </w:rPr>
        <w:t>,</w:t>
      </w:r>
      <w:r w:rsidR="00D13501" w:rsidRPr="00792A04">
        <w:rPr>
          <w:rFonts w:cs="Arial"/>
          <w:lang w:val="es-ES"/>
        </w:rPr>
        <w:t xml:space="preserve"> en base a la evaluación de expertos y expertas,</w:t>
      </w:r>
      <w:r w:rsidR="0096083E" w:rsidRPr="00792A04">
        <w:rPr>
          <w:rFonts w:cs="Arial"/>
          <w:lang w:val="es-ES"/>
        </w:rPr>
        <w:t xml:space="preserve"> mientras que el informe </w:t>
      </w:r>
      <w:r w:rsidR="00D13501" w:rsidRPr="00792A04">
        <w:rPr>
          <w:rFonts w:cs="Arial"/>
          <w:lang w:val="es-ES"/>
        </w:rPr>
        <w:t>analiza</w:t>
      </w:r>
      <w:r w:rsidR="0096083E" w:rsidRPr="00792A04">
        <w:rPr>
          <w:rFonts w:cs="Arial"/>
          <w:lang w:val="es-ES"/>
        </w:rPr>
        <w:t xml:space="preserve"> datos </w:t>
      </w:r>
      <w:r w:rsidR="43EEEEC5" w:rsidRPr="1D6B9515">
        <w:rPr>
          <w:rFonts w:cs="Arial"/>
          <w:lang w:val="es-ES"/>
        </w:rPr>
        <w:t>efectivos</w:t>
      </w:r>
      <w:r w:rsidR="00D13501" w:rsidRPr="00792A04">
        <w:rPr>
          <w:rFonts w:cs="Arial"/>
          <w:lang w:val="es-ES"/>
        </w:rPr>
        <w:t xml:space="preserve"> del Ministerio Público. Asimismo, e</w:t>
      </w:r>
      <w:r w:rsidR="0096083E" w:rsidRPr="00792A04">
        <w:rPr>
          <w:rFonts w:cs="Arial"/>
          <w:lang w:val="es-ES"/>
        </w:rPr>
        <w:t>xiste solo un subindicador (de 44 subindicadores</w:t>
      </w:r>
      <w:r w:rsidR="0024082C" w:rsidRPr="00792A04">
        <w:rPr>
          <w:rFonts w:cs="Arial"/>
          <w:lang w:val="es-ES"/>
        </w:rPr>
        <w:t xml:space="preserve"> del CPI</w:t>
      </w:r>
      <w:r w:rsidR="0096083E" w:rsidRPr="00792A04">
        <w:rPr>
          <w:rFonts w:cs="Arial"/>
          <w:lang w:val="es-ES"/>
        </w:rPr>
        <w:t xml:space="preserve">) referidos a la encuesta de </w:t>
      </w:r>
      <w:r w:rsidR="0024082C" w:rsidRPr="00792A04">
        <w:rPr>
          <w:rFonts w:cs="Arial"/>
          <w:lang w:val="es-ES"/>
        </w:rPr>
        <w:t>E</w:t>
      </w:r>
      <w:r w:rsidR="0096083E" w:rsidRPr="00792A04">
        <w:rPr>
          <w:rFonts w:cs="Arial"/>
          <w:lang w:val="es-ES"/>
        </w:rPr>
        <w:t xml:space="preserve">stado de Derecho (uno de los insumos que crean el </w:t>
      </w:r>
      <w:r w:rsidR="0024082C" w:rsidRPr="00792A04">
        <w:rPr>
          <w:rFonts w:cs="Arial"/>
          <w:lang w:val="es-ES"/>
        </w:rPr>
        <w:t>CPI</w:t>
      </w:r>
      <w:r w:rsidR="0096083E" w:rsidRPr="00792A04">
        <w:rPr>
          <w:rFonts w:cs="Arial"/>
          <w:lang w:val="es-ES"/>
        </w:rPr>
        <w:t xml:space="preserve">) que mide si el </w:t>
      </w:r>
      <w:r w:rsidR="0096083E" w:rsidRPr="00792A04">
        <w:rPr>
          <w:rFonts w:eastAsiaTheme="minorEastAsia" w:cs="Arial"/>
          <w:lang w:val="es"/>
        </w:rPr>
        <w:t>sistema de resolución penal es oportuno y eficaz.</w:t>
      </w:r>
    </w:p>
    <w:p w14:paraId="109736D1" w14:textId="127C07E0" w:rsidR="0096083E" w:rsidRDefault="00F0756F" w:rsidP="00792A04">
      <w:pPr>
        <w:rPr>
          <w:lang w:val="es"/>
        </w:rPr>
      </w:pPr>
      <w:r>
        <w:rPr>
          <w:lang w:val="es"/>
        </w:rPr>
        <w:t>Por otro lado</w:t>
      </w:r>
      <w:r w:rsidR="0096083E" w:rsidRPr="00F0756F">
        <w:rPr>
          <w:lang w:val="es"/>
        </w:rPr>
        <w:t xml:space="preserve">, el indicador de eficacia y oportunidad de resolución penal no contempla la misma tendencia que el número de ingresos de delitos </w:t>
      </w:r>
      <w:r w:rsidRPr="00F0756F">
        <w:rPr>
          <w:lang w:val="es"/>
        </w:rPr>
        <w:t>funcionarios. De</w:t>
      </w:r>
      <w:r w:rsidR="0096083E" w:rsidRPr="00F0756F">
        <w:rPr>
          <w:lang w:val="es"/>
        </w:rPr>
        <w:t xml:space="preserve"> hecho, no es hasta el 2020 que ambos indicadores toman la misma tendencia a la baja (donde se puede subentender que hay una correlación).</w:t>
      </w:r>
    </w:p>
    <w:p w14:paraId="30DAF5A8" w14:textId="4201FDD3" w:rsidR="00E37DE4" w:rsidRPr="00F0756F" w:rsidRDefault="00E37DE4" w:rsidP="00E37DE4">
      <w:pPr>
        <w:pStyle w:val="Heading2"/>
        <w:rPr>
          <w:lang w:val="es"/>
        </w:rPr>
      </w:pPr>
      <w:r>
        <w:rPr>
          <w:lang w:val="es"/>
        </w:rPr>
        <w:t>Definición de eficacia judic</w:t>
      </w:r>
      <w:r w:rsidR="00D60D6D">
        <w:rPr>
          <w:lang w:val="es"/>
        </w:rPr>
        <w:t>i</w:t>
      </w:r>
      <w:r>
        <w:rPr>
          <w:lang w:val="es"/>
        </w:rPr>
        <w:t>al</w:t>
      </w:r>
    </w:p>
    <w:p w14:paraId="75A57013" w14:textId="56CB65CF" w:rsidR="0096083E" w:rsidRDefault="0096083E" w:rsidP="1D6B9515">
      <w:pPr>
        <w:rPr>
          <w:lang w:val="es"/>
        </w:rPr>
      </w:pPr>
      <w:r w:rsidRPr="00D60D6D">
        <w:rPr>
          <w:lang w:val="es"/>
        </w:rPr>
        <w:t>Teóricamente</w:t>
      </w:r>
      <w:r w:rsidR="00D60D6D">
        <w:rPr>
          <w:lang w:val="es"/>
        </w:rPr>
        <w:t>, la e</w:t>
      </w:r>
      <w:r w:rsidRPr="00D60D6D">
        <w:rPr>
          <w:lang w:val="es"/>
        </w:rPr>
        <w:t>ficacia penal es un concepto amplio, el cual solo es acotado a la finalización/</w:t>
      </w:r>
      <w:r w:rsidR="00D60D6D" w:rsidRPr="00D60D6D">
        <w:rPr>
          <w:lang w:val="es"/>
        </w:rPr>
        <w:t>términos judiciales</w:t>
      </w:r>
      <w:r w:rsidRPr="00D60D6D">
        <w:rPr>
          <w:lang w:val="es"/>
        </w:rPr>
        <w:t xml:space="preserve">. La eficacia punitiva guarda relación con la </w:t>
      </w:r>
      <w:r w:rsidR="00D60D6D" w:rsidRPr="00D60D6D">
        <w:rPr>
          <w:lang w:val="es"/>
        </w:rPr>
        <w:t>resolución</w:t>
      </w:r>
      <w:r w:rsidRPr="00D60D6D">
        <w:rPr>
          <w:lang w:val="es"/>
        </w:rPr>
        <w:t xml:space="preserve"> de casos, la tasa de condena, la duración del proceso penal, el cumplimiento de las sentencias, la reincidencia, e incluso la percepción pública de la justicia. El documento, por su parte, la homologa a persecución de delitos</w:t>
      </w:r>
      <w:r w:rsidR="00D60D6D">
        <w:rPr>
          <w:lang w:val="es"/>
        </w:rPr>
        <w:t xml:space="preserve"> y solo se establece el éxito en caso de la obtención de una sentencia condenatoria</w:t>
      </w:r>
      <w:r w:rsidRPr="00D60D6D">
        <w:rPr>
          <w:lang w:val="es"/>
        </w:rPr>
        <w:t>.</w:t>
      </w:r>
      <w:r w:rsidR="003376F4">
        <w:rPr>
          <w:lang w:val="es"/>
        </w:rPr>
        <w:t xml:space="preserve"> </w:t>
      </w:r>
    </w:p>
    <w:p w14:paraId="141E9C83" w14:textId="44C3697B" w:rsidR="0096083E" w:rsidRDefault="003376F4" w:rsidP="00B25901">
      <w:pPr>
        <w:rPr>
          <w:lang w:val="es"/>
        </w:rPr>
      </w:pPr>
      <w:r>
        <w:rPr>
          <w:lang w:val="es"/>
        </w:rPr>
        <w:t xml:space="preserve">En este sentido, no se </w:t>
      </w:r>
      <w:r w:rsidR="006B144E">
        <w:rPr>
          <w:lang w:val="es"/>
        </w:rPr>
        <w:t xml:space="preserve">considera otros tipos de salida como </w:t>
      </w:r>
      <w:r w:rsidR="00C71B24">
        <w:rPr>
          <w:lang w:val="es"/>
        </w:rPr>
        <w:t xml:space="preserve">suspensión condicional </w:t>
      </w:r>
      <w:r w:rsidR="002F3C5C">
        <w:rPr>
          <w:lang w:val="es"/>
        </w:rPr>
        <w:t xml:space="preserve">o acuerdo </w:t>
      </w:r>
      <w:r w:rsidR="00410D8C">
        <w:rPr>
          <w:lang w:val="es"/>
        </w:rPr>
        <w:t>reparatorio</w:t>
      </w:r>
      <w:r w:rsidR="002F3C5C">
        <w:rPr>
          <w:lang w:val="es"/>
        </w:rPr>
        <w:t xml:space="preserve">, en los cuales también se establece una culpabilidad. </w:t>
      </w:r>
      <w:r w:rsidR="00AD1EE9">
        <w:rPr>
          <w:lang w:val="es"/>
        </w:rPr>
        <w:t xml:space="preserve">Por ejemplo, en el periodo 2004-2023, la suma de estas categorías (sentencia definitiva condenatoria, </w:t>
      </w:r>
      <w:r w:rsidR="00F976A7">
        <w:rPr>
          <w:lang w:val="es"/>
        </w:rPr>
        <w:t xml:space="preserve">acuerdo reparatorio y suspensión condicional), suman un </w:t>
      </w:r>
      <w:r w:rsidR="003472FE">
        <w:rPr>
          <w:lang w:val="es"/>
        </w:rPr>
        <w:t xml:space="preserve">21% de los términos. </w:t>
      </w:r>
    </w:p>
    <w:p w14:paraId="6805B30E" w14:textId="26B4C487" w:rsidR="00105D7B" w:rsidRPr="00D60D6D" w:rsidRDefault="00C71B24" w:rsidP="00D60D6D">
      <w:pPr>
        <w:rPr>
          <w:rFonts w:asciiTheme="minorHAnsi" w:eastAsiaTheme="minorEastAsia" w:hAnsiTheme="minorHAnsi"/>
          <w:lang w:val="es"/>
        </w:rPr>
      </w:pPr>
      <w:r>
        <w:rPr>
          <w:rFonts w:asciiTheme="minorHAnsi" w:eastAsiaTheme="minorEastAsia" w:hAnsiTheme="minorHAnsi"/>
          <w:noProof/>
          <w:lang w:val="es"/>
        </w:rPr>
        <w:drawing>
          <wp:inline distT="0" distB="0" distL="0" distR="0" wp14:anchorId="343B73C3" wp14:editId="2E7E3DC4">
            <wp:extent cx="5600700" cy="4296427"/>
            <wp:effectExtent l="0" t="0" r="0" b="8890"/>
            <wp:docPr id="4104169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76" cy="4300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703FC" w14:textId="43CFAD23" w:rsidR="0096083E" w:rsidRPr="00D96699" w:rsidRDefault="0096083E" w:rsidP="001100A3">
      <w:pPr>
        <w:rPr>
          <w:rFonts w:eastAsiaTheme="minorEastAsia" w:cs="Arial"/>
          <w:lang w:val="es"/>
        </w:rPr>
        <w:sectPr w:rsidR="0096083E" w:rsidRPr="00D96699" w:rsidSect="005531A5">
          <w:footerReference w:type="default" r:id="rId12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D96699">
        <w:rPr>
          <w:rFonts w:eastAsiaTheme="minorEastAsia" w:cs="Arial"/>
          <w:lang w:val="es"/>
        </w:rPr>
        <w:t xml:space="preserve">Anteriormente, también se establece la eficacia punitiva como el término/finalización de casos, lo que parece </w:t>
      </w:r>
      <w:r w:rsidR="001100A3" w:rsidRPr="00D96699">
        <w:rPr>
          <w:rFonts w:eastAsiaTheme="minorEastAsia" w:cs="Arial"/>
          <w:lang w:val="es"/>
        </w:rPr>
        <w:t>contraintuitivo</w:t>
      </w:r>
      <w:r w:rsidRPr="00D96699">
        <w:rPr>
          <w:rFonts w:eastAsiaTheme="minorEastAsia" w:cs="Arial"/>
          <w:lang w:val="es"/>
        </w:rPr>
        <w:t xml:space="preserve"> con lo que se señala después</w:t>
      </w:r>
      <w:r w:rsidR="00C71B24" w:rsidRPr="00D96699">
        <w:rPr>
          <w:rFonts w:eastAsiaTheme="minorEastAsia" w:cs="Arial"/>
          <w:lang w:val="es"/>
        </w:rPr>
        <w:t xml:space="preserve">. Por ejemplo, </w:t>
      </w:r>
      <w:r w:rsidRPr="00D96699">
        <w:rPr>
          <w:rFonts w:eastAsiaTheme="minorEastAsia" w:cs="Arial"/>
          <w:lang w:val="es"/>
        </w:rPr>
        <w:t>¿</w:t>
      </w:r>
      <w:r w:rsidR="00C71B24" w:rsidRPr="00D96699">
        <w:rPr>
          <w:rFonts w:eastAsiaTheme="minorEastAsia" w:cs="Arial"/>
          <w:lang w:val="es"/>
        </w:rPr>
        <w:t>p</w:t>
      </w:r>
      <w:r w:rsidRPr="00D96699">
        <w:rPr>
          <w:rFonts w:eastAsiaTheme="minorEastAsia" w:cs="Arial"/>
          <w:lang w:val="es"/>
        </w:rPr>
        <w:t>or qué el archivar una causa no significa un término/finalización del caso</w:t>
      </w:r>
    </w:p>
    <w:p w14:paraId="1116316E" w14:textId="7D8C98DB" w:rsidR="00772115" w:rsidRDefault="003D2994" w:rsidP="003D2994">
      <w:pPr>
        <w:pStyle w:val="Heading2"/>
      </w:pPr>
      <w:r>
        <w:t>C</w:t>
      </w:r>
      <w:r w:rsidR="00580B7B">
        <w:t xml:space="preserve">omparación </w:t>
      </w:r>
      <w:r>
        <w:t xml:space="preserve">de </w:t>
      </w:r>
      <w:r w:rsidR="00580B7B">
        <w:t>sentencia condenatoria</w:t>
      </w:r>
      <w:r>
        <w:t xml:space="preserve"> en</w:t>
      </w:r>
      <w:r w:rsidR="00580B7B">
        <w:t xml:space="preserve"> otros delitos</w:t>
      </w:r>
    </w:p>
    <w:p w14:paraId="1388C773" w14:textId="2299688A" w:rsidR="005C697F" w:rsidRPr="005C697F" w:rsidRDefault="0096083E" w:rsidP="005C697F">
      <w:pPr>
        <w:rPr>
          <w:lang w:val="es-ES"/>
        </w:rPr>
      </w:pPr>
      <w:r>
        <w:rPr>
          <w:lang w:val="es-ES"/>
        </w:rPr>
        <w:t xml:space="preserve">El informe señala que la tasa de sentencia condenatoria en los delitos funcionarios es baja. Sin embargo, </w:t>
      </w:r>
      <w:r w:rsidR="00A875C7">
        <w:rPr>
          <w:lang w:val="es-ES"/>
        </w:rPr>
        <w:t xml:space="preserve">un análisis de los porcentajes de sentencias condenatorias en otros delitos no es necesariamente </w:t>
      </w:r>
      <w:r w:rsidR="008356B3">
        <w:rPr>
          <w:lang w:val="es-ES"/>
        </w:rPr>
        <w:t>inferior a ellos. Por ejemplo, al explorar los términos judiciales en el año 2023</w:t>
      </w:r>
      <w:r w:rsidR="00B4439F">
        <w:rPr>
          <w:lang w:val="es-ES"/>
        </w:rPr>
        <w:t xml:space="preserve"> con las otras </w:t>
      </w:r>
      <w:r w:rsidR="003D2994">
        <w:rPr>
          <w:lang w:val="es-ES"/>
        </w:rPr>
        <w:t>categorías de delitos según la clasificación del Ministerio Público</w:t>
      </w:r>
      <w:r w:rsidR="008356B3">
        <w:rPr>
          <w:lang w:val="es-ES"/>
        </w:rPr>
        <w:t xml:space="preserve">: </w:t>
      </w:r>
    </w:p>
    <w:p w14:paraId="2AE5BF3C" w14:textId="6782EEE6" w:rsidR="2F57AD8F" w:rsidRPr="000510E7" w:rsidRDefault="60C2761F" w:rsidP="2F57AD8F">
      <w:pPr>
        <w:rPr>
          <w:b/>
          <w:bCs/>
          <w:lang w:val="es-ES"/>
        </w:rPr>
      </w:pPr>
      <w:r w:rsidRPr="000510E7">
        <w:rPr>
          <w:b/>
          <w:bCs/>
          <w:lang w:val="es-ES"/>
        </w:rPr>
        <w:t>Porcentaje sentencia condenatoria por delito</w:t>
      </w:r>
      <w:r w:rsidR="000510E7">
        <w:rPr>
          <w:b/>
          <w:bCs/>
          <w:lang w:val="es-ES"/>
        </w:rPr>
        <w:t xml:space="preserve"> (2023)</w:t>
      </w:r>
    </w:p>
    <w:tbl>
      <w:tblPr>
        <w:tblStyle w:val="TableGrid"/>
        <w:tblW w:w="9246" w:type="dxa"/>
        <w:tblLayout w:type="fixed"/>
        <w:tblLook w:val="06A0" w:firstRow="1" w:lastRow="0" w:firstColumn="1" w:lastColumn="0" w:noHBand="1" w:noVBand="1"/>
      </w:tblPr>
      <w:tblGrid>
        <w:gridCol w:w="6755"/>
        <w:gridCol w:w="2491"/>
      </w:tblGrid>
      <w:tr w:rsidR="60C2761F" w14:paraId="6835836D" w14:textId="77777777" w:rsidTr="00FB5EC8">
        <w:trPr>
          <w:trHeight w:val="560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D53A5A" w14:textId="24D6548D" w:rsidR="60C2761F" w:rsidRPr="000510E7" w:rsidRDefault="60C2761F" w:rsidP="60C2761F">
            <w:pPr>
              <w:spacing w:before="0" w:after="0"/>
              <w:ind w:left="-20" w:right="-20"/>
              <w:jc w:val="center"/>
              <w:rPr>
                <w:rFonts w:cs="Arial"/>
              </w:rPr>
            </w:pPr>
            <w:r w:rsidRPr="000510E7">
              <w:rPr>
                <w:rFonts w:eastAsia="Arial" w:cs="Arial"/>
                <w:b/>
                <w:bCs/>
              </w:rPr>
              <w:t>Tipo de Delito</w:t>
            </w:r>
            <w:r w:rsidRPr="000510E7">
              <w:rPr>
                <w:rFonts w:eastAsia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E9550" w14:textId="01FC3D27" w:rsidR="60C2761F" w:rsidRPr="000510E7" w:rsidRDefault="60C2761F" w:rsidP="60C2761F">
            <w:pPr>
              <w:spacing w:before="0" w:after="0"/>
              <w:ind w:left="-20" w:right="-20"/>
              <w:jc w:val="center"/>
              <w:rPr>
                <w:rFonts w:cs="Arial"/>
              </w:rPr>
            </w:pPr>
            <w:r w:rsidRPr="000510E7">
              <w:rPr>
                <w:rFonts w:eastAsia="Arial" w:cs="Arial"/>
                <w:b/>
                <w:bCs/>
              </w:rPr>
              <w:t xml:space="preserve">Porcentaje de </w:t>
            </w:r>
            <w:r w:rsidR="007848F9">
              <w:rPr>
                <w:rFonts w:eastAsia="Arial" w:cs="Arial"/>
                <w:b/>
                <w:bCs/>
              </w:rPr>
              <w:t>S</w:t>
            </w:r>
            <w:r w:rsidR="007848F9" w:rsidRPr="00FB5EC8">
              <w:rPr>
                <w:rFonts w:eastAsia="Arial" w:cs="Arial"/>
                <w:b/>
                <w:bCs/>
              </w:rPr>
              <w:t>entencia definitiva condenatoria (%)</w:t>
            </w:r>
            <w:r w:rsidRPr="000510E7">
              <w:rPr>
                <w:rFonts w:eastAsia="Arial" w:cs="Arial"/>
              </w:rPr>
              <w:t xml:space="preserve"> </w:t>
            </w:r>
          </w:p>
        </w:tc>
      </w:tr>
      <w:tr w:rsidR="00FB5EC8" w14:paraId="1EE8B5CD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5D351AE5" w14:textId="13E376D1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Homicidios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E9C5282" w14:textId="64DC4C09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47,79%</w:t>
            </w:r>
          </w:p>
        </w:tc>
      </w:tr>
      <w:tr w:rsidR="00FB5EC8" w14:paraId="6B73973B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6ACF7A71" w14:textId="1C424D6A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ley de drogas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F5529E1" w14:textId="64488E5F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38,77%</w:t>
            </w:r>
          </w:p>
        </w:tc>
      </w:tr>
      <w:tr w:rsidR="00FB5EC8" w14:paraId="214503AA" w14:textId="77777777" w:rsidTr="00FB5EC8">
        <w:trPr>
          <w:trHeight w:val="270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5A915160" w14:textId="4BB38786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Faltas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B7A269B" w14:textId="0CA9799F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38,76%</w:t>
            </w:r>
          </w:p>
        </w:tc>
      </w:tr>
      <w:tr w:rsidR="00FB5EC8" w14:paraId="30CF50F6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05C969D0" w14:textId="0EFF5E7D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ley de tránsito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F6A8965" w14:textId="7612DA7C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33,84%</w:t>
            </w:r>
          </w:p>
        </w:tc>
      </w:tr>
      <w:tr w:rsidR="00FB5EC8" w14:paraId="00CA8E23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01C21213" w14:textId="1289867B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contra la fe pública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8B98E42" w14:textId="70624DC2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14,38%</w:t>
            </w:r>
          </w:p>
        </w:tc>
      </w:tr>
      <w:tr w:rsidR="00FB5EC8" w14:paraId="6D6D96BA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7B115632" w14:textId="2827DA99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Otros delitos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A2B8AC" w14:textId="078FA25B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11,56%</w:t>
            </w:r>
          </w:p>
        </w:tc>
      </w:tr>
      <w:tr w:rsidR="00FB5EC8" w14:paraId="51BDED78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21D7A62D" w14:textId="5CCED957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funcionarios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32E845E" w14:textId="2F0BE213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10,91%</w:t>
            </w:r>
          </w:p>
        </w:tc>
      </w:tr>
      <w:tr w:rsidR="00FB5EC8" w14:paraId="40F2C4F8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05C51A0D" w14:textId="4941A327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Lesiones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036E5D1" w14:textId="029216C8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10,44%</w:t>
            </w:r>
          </w:p>
        </w:tc>
      </w:tr>
      <w:tr w:rsidR="00FB5EC8" w14:paraId="09925632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2364F3BB" w14:textId="4CE791A0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Otros delitos contra la propiedad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C24CEF5" w14:textId="28AB0CCB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9,95%</w:t>
            </w:r>
          </w:p>
        </w:tc>
      </w:tr>
      <w:tr w:rsidR="00FB5EC8" w14:paraId="4FD6740D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16AA3B73" w14:textId="74A2E255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sexuales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41BA8FE" w14:textId="3503B650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8,89%</w:t>
            </w:r>
          </w:p>
        </w:tc>
      </w:tr>
      <w:tr w:rsidR="00FB5EC8" w14:paraId="1C2819B5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296210E0" w14:textId="36AE23F7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Robos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8FFAFC6" w14:textId="6F0116DB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8,79%</w:t>
            </w:r>
          </w:p>
        </w:tc>
      </w:tr>
      <w:tr w:rsidR="00FB5EC8" w14:paraId="3C648DDF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1F956DC3" w14:textId="7D59A552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Cuasidelitos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472E97E" w14:textId="78EF5A47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6,43%</w:t>
            </w:r>
          </w:p>
        </w:tc>
      </w:tr>
      <w:tr w:rsidR="00FB5EC8" w14:paraId="1999B474" w14:textId="77777777" w:rsidTr="00FB5EC8">
        <w:trPr>
          <w:trHeight w:val="29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3DC32070" w14:textId="6A26CB89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contra la libertad e intimidad de las personas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412D21D" w14:textId="50E3038D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5,43%</w:t>
            </w:r>
          </w:p>
        </w:tc>
      </w:tr>
      <w:tr w:rsidR="00FB5EC8" w14:paraId="12AD716F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6086D98E" w14:textId="61CA0F9C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Hurtos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7ED6FD6" w14:textId="728D96C7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5,37%</w:t>
            </w:r>
          </w:p>
        </w:tc>
      </w:tr>
      <w:tr w:rsidR="00FB5EC8" w14:paraId="21EF2456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60142501" w14:textId="00DA2705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Robos no violentos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B18CAE8" w14:textId="46426330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5,12%</w:t>
            </w:r>
          </w:p>
        </w:tc>
      </w:tr>
      <w:tr w:rsidR="00FB5EC8" w14:paraId="003EB267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7E709F69" w14:textId="416B318F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de leyes especiales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2D0A2E0" w14:textId="71284D11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4,95%</w:t>
            </w:r>
          </w:p>
        </w:tc>
      </w:tr>
      <w:tr w:rsidR="00FB5EC8" w14:paraId="0B435C56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0540DEE5" w14:textId="1996DC8D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de tortura, malos tratos, genocidio y lesa humanidad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E3FD01D" w14:textId="17326622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2,70%</w:t>
            </w:r>
          </w:p>
        </w:tc>
      </w:tr>
      <w:tr w:rsidR="00FB5EC8" w14:paraId="4BF22781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33458C10" w14:textId="1C714F08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contra leyes de propiedad intelectual e industrial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B967844" w14:textId="10AC6337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2,61%</w:t>
            </w:r>
          </w:p>
        </w:tc>
      </w:tr>
      <w:tr w:rsidR="00FB5EC8" w14:paraId="7AD8AE74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66AC1A6B" w14:textId="0924DC1D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económicos y tributarios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B3746F2" w14:textId="392DB869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2,49%</w:t>
            </w:r>
          </w:p>
        </w:tc>
      </w:tr>
      <w:tr w:rsidR="00FB5EC8" w14:paraId="5D0D02D8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022E0CF5" w14:textId="0379D933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Delitos de justicia militar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6800BF3" w14:textId="74426D48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0,94%</w:t>
            </w:r>
          </w:p>
        </w:tc>
      </w:tr>
      <w:tr w:rsidR="00FB5EC8" w14:paraId="68F2F058" w14:textId="77777777" w:rsidTr="00FB5EC8">
        <w:trPr>
          <w:trHeight w:val="44"/>
        </w:trPr>
        <w:tc>
          <w:tcPr>
            <w:tcW w:w="6755" w:type="dxa"/>
            <w:tcMar>
              <w:top w:w="15" w:type="dxa"/>
              <w:left w:w="15" w:type="dxa"/>
              <w:right w:w="15" w:type="dxa"/>
            </w:tcMar>
          </w:tcPr>
          <w:p w14:paraId="7AD18E04" w14:textId="0FF3936C" w:rsidR="00FB5EC8" w:rsidRPr="000510E7" w:rsidRDefault="00FB5EC8" w:rsidP="00FB5EC8">
            <w:pPr>
              <w:spacing w:before="0" w:after="0"/>
              <w:ind w:left="-20" w:right="-20"/>
              <w:rPr>
                <w:rFonts w:cs="Arial"/>
              </w:rPr>
            </w:pPr>
            <w:r w:rsidRPr="00B738D7">
              <w:t>Hechos de relevancia criminal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DD09CD3" w14:textId="30658E82" w:rsidR="00FB5EC8" w:rsidRPr="000510E7" w:rsidRDefault="00FB5EC8" w:rsidP="00FB5EC8">
            <w:pPr>
              <w:spacing w:before="0" w:after="0"/>
              <w:rPr>
                <w:rFonts w:cs="Arial"/>
              </w:rPr>
            </w:pPr>
            <w:r w:rsidRPr="00B738D7">
              <w:t>0,43%</w:t>
            </w:r>
          </w:p>
        </w:tc>
      </w:tr>
    </w:tbl>
    <w:p w14:paraId="5383A526" w14:textId="1396F9C3" w:rsidR="00020E0A" w:rsidRDefault="00020E0A" w:rsidP="103D1057">
      <w:pPr>
        <w:spacing w:before="0" w:after="160" w:line="259" w:lineRule="auto"/>
        <w:rPr>
          <w:lang w:val="es-ES"/>
        </w:rPr>
      </w:pPr>
    </w:p>
    <w:p w14:paraId="50137999" w14:textId="07DFA6BC" w:rsidR="000367F1" w:rsidRDefault="000367F1" w:rsidP="103D1057">
      <w:pPr>
        <w:spacing w:before="0" w:after="160" w:line="259" w:lineRule="auto"/>
        <w:rPr>
          <w:lang w:val="es-ES"/>
        </w:rPr>
      </w:pPr>
      <w:r>
        <w:rPr>
          <w:lang w:val="es-ES"/>
        </w:rPr>
        <w:t xml:space="preserve">De esta forma, se aprecia </w:t>
      </w:r>
      <w:r w:rsidR="002544A4">
        <w:rPr>
          <w:lang w:val="es-ES"/>
        </w:rPr>
        <w:t>que,</w:t>
      </w:r>
      <w:r>
        <w:rPr>
          <w:lang w:val="es-ES"/>
        </w:rPr>
        <w:t xml:space="preserve"> de </w:t>
      </w:r>
      <w:r w:rsidR="00F019A6">
        <w:rPr>
          <w:lang w:val="es-ES"/>
        </w:rPr>
        <w:t xml:space="preserve">21 categorías de delitos, solo 6 superan el porcentaje de sentencias condenatorias obtenidas </w:t>
      </w:r>
      <w:r w:rsidR="005F19DF">
        <w:rPr>
          <w:lang w:val="es-ES"/>
        </w:rPr>
        <w:t xml:space="preserve">en la categoría “delitos funcionarios”, mientras que esta </w:t>
      </w:r>
      <w:r w:rsidR="44F98C5D" w:rsidRPr="1D6B9515">
        <w:rPr>
          <w:lang w:val="es-ES"/>
        </w:rPr>
        <w:t>última</w:t>
      </w:r>
      <w:r w:rsidR="005F19DF">
        <w:rPr>
          <w:lang w:val="es-ES"/>
        </w:rPr>
        <w:t xml:space="preserve"> supera 14 otras categorías </w:t>
      </w:r>
      <w:r w:rsidR="00F85049">
        <w:rPr>
          <w:lang w:val="es-ES"/>
        </w:rPr>
        <w:t xml:space="preserve">de delitos. </w:t>
      </w:r>
    </w:p>
    <w:p w14:paraId="5A054DA7" w14:textId="6A78B1FD" w:rsidR="001D0BCD" w:rsidRDefault="00011638" w:rsidP="00D96699">
      <w:pPr>
        <w:pStyle w:val="Heading2"/>
      </w:pPr>
      <w:r>
        <w:t>Evolución sentencia condenatoria a delitos funcionarios</w:t>
      </w:r>
    </w:p>
    <w:p w14:paraId="263E52B2" w14:textId="0E6B58B3" w:rsidR="001D0BCD" w:rsidRDefault="001D0BCD" w:rsidP="00FF17BA">
      <w:pPr>
        <w:rPr>
          <w:lang w:val="es-ES"/>
        </w:rPr>
      </w:pPr>
    </w:p>
    <w:p w14:paraId="01812D0A" w14:textId="2A25C232" w:rsidR="007B3C64" w:rsidRDefault="00D96699" w:rsidP="00D96699">
      <w:r>
        <w:t xml:space="preserve">Adicionalmente, la exploración de la evolución de sentencia condenatoria en delitos </w:t>
      </w:r>
      <w:r w:rsidR="006E73BA">
        <w:t xml:space="preserve">funcionarios muestra que la tendencia durante los últimos tres años corresponde al </w:t>
      </w:r>
      <w:r w:rsidR="007B3C64">
        <w:t>aumento progresivo</w:t>
      </w:r>
      <w:r w:rsidR="006E73BA">
        <w:t xml:space="preserve"> de este tipo de salida. </w:t>
      </w:r>
    </w:p>
    <w:p w14:paraId="48353C5C" w14:textId="77777777" w:rsidR="007B3C64" w:rsidRDefault="007B3C64" w:rsidP="00D96699">
      <w:r>
        <w:rPr>
          <w:noProof/>
        </w:rPr>
        <w:drawing>
          <wp:inline distT="0" distB="0" distL="0" distR="0" wp14:anchorId="4F11171C" wp14:editId="333B2A62">
            <wp:extent cx="5798514" cy="4448175"/>
            <wp:effectExtent l="0" t="0" r="0" b="0"/>
            <wp:docPr id="21056759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895" cy="4452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DA215" w14:textId="77777777" w:rsidR="007B3C64" w:rsidRDefault="007B3C64" w:rsidP="00D96699"/>
    <w:p w14:paraId="7A8495A1" w14:textId="3C76F910" w:rsidR="00B05C42" w:rsidRDefault="007B3C64" w:rsidP="00B05C42">
      <w:r>
        <w:t xml:space="preserve">En efecto, si bien este porcentaje </w:t>
      </w:r>
      <w:r w:rsidR="006B52C5">
        <w:t xml:space="preserve">tuvo un </w:t>
      </w:r>
      <w:r w:rsidR="0041482C">
        <w:t>mínimo histórico en 2020</w:t>
      </w:r>
      <w:r w:rsidR="00B90FA4">
        <w:t xml:space="preserve"> (correspondiente a 3,3%)</w:t>
      </w:r>
      <w:r w:rsidR="0041482C">
        <w:t xml:space="preserve">, en los últimos tres años ha aumentado </w:t>
      </w:r>
      <w:r w:rsidR="0086467C">
        <w:t>progresivamente, a</w:t>
      </w:r>
      <w:r w:rsidR="00B05C42">
        <w:t xml:space="preserve"> 8,3% en 2021; 9,6% en 2022; y, finalmente, 10,9% en 2023. </w:t>
      </w:r>
    </w:p>
    <w:p w14:paraId="0C936527" w14:textId="06DD8003" w:rsidR="001D0BCD" w:rsidRDefault="006C7DCA" w:rsidP="00B05C42">
      <w:pPr>
        <w:pStyle w:val="Heading2"/>
      </w:pPr>
      <w:r>
        <w:t>Tipos de delitos funcionarios</w:t>
      </w:r>
    </w:p>
    <w:p w14:paraId="5F82EB23" w14:textId="4A8FDF07" w:rsidR="00011638" w:rsidRDefault="006C7DCA" w:rsidP="00011638">
      <w:pPr>
        <w:rPr>
          <w:lang w:val="es-ES"/>
        </w:rPr>
      </w:pPr>
      <w:r>
        <w:rPr>
          <w:lang w:val="es-ES"/>
        </w:rPr>
        <w:t xml:space="preserve">El informe señala que </w:t>
      </w:r>
      <w:r w:rsidR="006656CF">
        <w:rPr>
          <w:lang w:val="es-ES"/>
        </w:rPr>
        <w:t xml:space="preserve">se exploraran los delitos funcionarios por ser aquellos que tienen mayor relación directa con el </w:t>
      </w:r>
      <w:r w:rsidR="00B05C42">
        <w:rPr>
          <w:lang w:val="es-ES"/>
        </w:rPr>
        <w:t xml:space="preserve">delito de corrupción. </w:t>
      </w:r>
      <w:r w:rsidR="00DB69D1">
        <w:rPr>
          <w:lang w:val="es-ES"/>
        </w:rPr>
        <w:t xml:space="preserve">Sin embargo, esta categoría incluye delitos que pueden ser diferentes a este fenómeno. Los delitos que el Ministerio Público incluye dentro de esta categoría son los siguientes: </w:t>
      </w:r>
    </w:p>
    <w:p w14:paraId="1355B89F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ABANDONO DE DESTINO</w:t>
      </w:r>
    </w:p>
    <w:p w14:paraId="5A98599E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ABUSOS CONTRA PARTICULARES.ARTS. 255.</w:t>
      </w:r>
    </w:p>
    <w:p w14:paraId="21B2E289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COHECHO COMETIDO POR EMPLEADO PÚBLICO ART 248, 248 BIS Y 249</w:t>
      </w:r>
    </w:p>
    <w:p w14:paraId="66A956F7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COHECHO O SOBORNO COMETIDO POR PARTICULAR. ART. 250</w:t>
      </w:r>
    </w:p>
    <w:p w14:paraId="097A4096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EMPL PUBL EXPROPIE BIENES O PERTURBE POSESION ART. 158 N°6</w:t>
      </w:r>
    </w:p>
    <w:p w14:paraId="320C81D3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ENRIQUECIMIENTO ILÍCITO. ART. 241 BIS.</w:t>
      </w:r>
    </w:p>
    <w:p w14:paraId="24DD527F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EXACCIONES ILEGALES COMETIDAS POR FUNC. PÚB. ART.157 y 241.</w:t>
      </w:r>
    </w:p>
    <w:p w14:paraId="59B2999E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EXACCIONES ILEGALES COMETIDAS POR PARTICULARES</w:t>
      </w:r>
    </w:p>
    <w:p w14:paraId="33BC272E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FALSIFICACIÓN DE PARTE POLICIAL ART. 22</w:t>
      </w:r>
    </w:p>
    <w:p w14:paraId="5437CEF3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FRAUDES AL FISCO Y ORGANISMOS DEL ESTADO. ART.239</w:t>
      </w:r>
    </w:p>
    <w:p w14:paraId="7C0B25CD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INFIDELIDAD EN LA CUSTODIA DE DOCUMENTOS ARTS 242, 243, 244</w:t>
      </w:r>
    </w:p>
    <w:p w14:paraId="52B62E65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INFRACCIONES A LEY EDUC SUPERIOR ART 30 Y 78 LEY 21.091</w:t>
      </w:r>
    </w:p>
    <w:p w14:paraId="321EBB86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MALVERSACIÓN DE CAUDALES PUBLICOS. ARTS 233, 234, 235 y 236</w:t>
      </w:r>
    </w:p>
    <w:p w14:paraId="600CCD8F" w14:textId="607D61D1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NEGOCIACIÓN INCOMPATIBLE POR PERSONA JURÍDICA ART 240</w:t>
      </w:r>
    </w:p>
    <w:p w14:paraId="6636C488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NEGOCIACIÓN INCOMPATIBLE. ART. 240.</w:t>
      </w:r>
    </w:p>
    <w:p w14:paraId="5E1E9096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NOMBRAMIENTOS ILEGALES</w:t>
      </w:r>
    </w:p>
    <w:p w14:paraId="559DBC02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OTROS ABUSOS CONTRA PARTICULARES.ART. 256,257,258,259</w:t>
      </w:r>
    </w:p>
    <w:p w14:paraId="1F4279B0" w14:textId="49FC7732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OTROS DELITOS EMPLEADOS PÚBLICOS EN DESEMPEÑO DE SUS CARGOS</w:t>
      </w:r>
    </w:p>
    <w:p w14:paraId="54430A10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 xml:space="preserve">OTROS DELITOS QUE AFECTAN </w:t>
      </w:r>
      <w:proofErr w:type="spellStart"/>
      <w:r w:rsidRPr="00BA224B">
        <w:rPr>
          <w:lang w:val="es-ES"/>
        </w:rPr>
        <w:t>DºS</w:t>
      </w:r>
      <w:proofErr w:type="spellEnd"/>
      <w:r w:rsidRPr="00BA224B">
        <w:rPr>
          <w:lang w:val="es-ES"/>
        </w:rPr>
        <w:t xml:space="preserve"> GARANTIDOS POR LA CONSTITUCIÓN</w:t>
      </w:r>
    </w:p>
    <w:p w14:paraId="2AE5D956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PREVARICACIÓN JUDICIAL Y ADMINISTRATIVA ART. 223 AL 229.</w:t>
      </w:r>
    </w:p>
    <w:p w14:paraId="4ECF83B2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SOBORNO DE FUNC PBCO EXTRANJ PERSONA NATURAL ART. 251 BIS</w:t>
      </w:r>
    </w:p>
    <w:p w14:paraId="09FC1A23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SOBORNO DE FUNC PUB EXTRANJ PERSONA JURIDICA ART 251 BIS</w:t>
      </w:r>
    </w:p>
    <w:p w14:paraId="2783555B" w14:textId="15E59F8E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SOBORNO.ART. 250. PERSONA JURIDICA</w:t>
      </w:r>
    </w:p>
    <w:p w14:paraId="746E5714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TRÁFICO DE INFLUENCIAS. ART. 240 BIS.</w:t>
      </w:r>
    </w:p>
    <w:p w14:paraId="480F7DFF" w14:textId="3A586890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TRAFICO MIGRANTES POR FUNCIONARIO PUB ART 411 BIS INC FINAL</w:t>
      </w:r>
    </w:p>
    <w:p w14:paraId="1561707D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USO DE INFORMACIÓN PRIVILEGIADA ART. 247 BIS</w:t>
      </w:r>
    </w:p>
    <w:p w14:paraId="56251E83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USURPACIÓN DE PROPIEDAD, DESCUBRIMIENTO O PROD. ART.158 Nº5.</w:t>
      </w:r>
    </w:p>
    <w:p w14:paraId="69105CC8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VIOLACIÓN DE SECRETOS. ART. 246, 247</w:t>
      </w:r>
    </w:p>
    <w:p w14:paraId="33C452A7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ABUSOS CONTRA PARTICULARES</w:t>
      </w:r>
    </w:p>
    <w:p w14:paraId="0DA39D06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EXACCIONES ILEGALES (ART. 147, 157 Y 241 CÓDIGO PENAL)</w:t>
      </w:r>
    </w:p>
    <w:p w14:paraId="58CBA62D" w14:textId="77777777" w:rsidR="00BA224B" w:rsidRPr="00BA224B" w:rsidRDefault="00BA224B" w:rsidP="00BA224B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FRAUDES AL FISCO Y ORGANISMOS DEL ESTADO (Art. 239)</w:t>
      </w:r>
    </w:p>
    <w:p w14:paraId="3985AEF9" w14:textId="5B8B7540" w:rsidR="00A760DC" w:rsidRDefault="00BA224B" w:rsidP="00011638">
      <w:pPr>
        <w:pStyle w:val="ListParagraph"/>
        <w:numPr>
          <w:ilvl w:val="0"/>
          <w:numId w:val="10"/>
        </w:numPr>
        <w:rPr>
          <w:lang w:val="es-ES"/>
        </w:rPr>
      </w:pPr>
      <w:r w:rsidRPr="00BA224B">
        <w:rPr>
          <w:lang w:val="es-ES"/>
        </w:rPr>
        <w:t>USURPACIÓN DE ATRIBUCIONES DE EMPLEADOS PÚB. Y JUDICIALES</w:t>
      </w:r>
    </w:p>
    <w:p w14:paraId="6A8F0EFD" w14:textId="77777777" w:rsidR="002544A4" w:rsidRPr="002544A4" w:rsidRDefault="002544A4" w:rsidP="002544A4">
      <w:pPr>
        <w:pStyle w:val="ListParagraph"/>
        <w:rPr>
          <w:lang w:val="es-ES"/>
        </w:rPr>
      </w:pPr>
    </w:p>
    <w:p w14:paraId="1E2AB10F" w14:textId="071FB542" w:rsidR="00011638" w:rsidRPr="003B5006" w:rsidRDefault="00891871" w:rsidP="00251EC6">
      <w:r>
        <w:rPr>
          <w:lang w:val="es-ES"/>
        </w:rPr>
        <w:t>La base de datos entregada por el Ministerio Público no permite analizar estos delitos por separado. Sin embargo</w:t>
      </w:r>
      <w:r w:rsidR="00251EC6">
        <w:rPr>
          <w:lang w:val="es-ES"/>
        </w:rPr>
        <w:t>, e</w:t>
      </w:r>
      <w:r w:rsidR="006C7DCA">
        <w:t>n 202</w:t>
      </w:r>
      <w:r w:rsidR="001D1DA7">
        <w:t>3</w:t>
      </w:r>
      <w:r w:rsidR="00011638" w:rsidRPr="003B5006">
        <w:t>, se solicitó información</w:t>
      </w:r>
      <w:r w:rsidR="006C7DCA">
        <w:t xml:space="preserve"> al Ministerio Público</w:t>
      </w:r>
      <w:r w:rsidR="00011638" w:rsidRPr="003B5006">
        <w:t xml:space="preserve"> respecto al número de casos de delitos relativos a hechos de corrupción que han sido abiertos durante los últimos años. </w:t>
      </w:r>
      <w:r w:rsidR="00251EC6">
        <w:t>Se pidió información sobre los</w:t>
      </w:r>
      <w:r w:rsidR="00011638" w:rsidRPr="003B5006">
        <w:t xml:space="preserve"> siguientes delitos:</w:t>
      </w:r>
    </w:p>
    <w:p w14:paraId="66D750C8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Tráfico de influencias.</w:t>
      </w:r>
    </w:p>
    <w:p w14:paraId="6D42FBAB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Exacciones ilegales cometidas por funcionario público.</w:t>
      </w:r>
    </w:p>
    <w:p w14:paraId="3DBDC85B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Enriquecimiento ilícito.</w:t>
      </w:r>
    </w:p>
    <w:p w14:paraId="34BC2101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Fraudes al fisco y organismos del Estado.</w:t>
      </w:r>
    </w:p>
    <w:p w14:paraId="304AE3F4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Cohecho o soborno cometido por particular.</w:t>
      </w:r>
    </w:p>
    <w:p w14:paraId="4417D125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Malversación de caudales públicos.</w:t>
      </w:r>
    </w:p>
    <w:p w14:paraId="60BF598C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Cohecho cometido por empleado público.</w:t>
      </w:r>
    </w:p>
    <w:p w14:paraId="27DB3949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Negociación incompatible.</w:t>
      </w:r>
    </w:p>
    <w:p w14:paraId="20316ECD" w14:textId="77777777" w:rsidR="00011638" w:rsidRPr="003B5006" w:rsidRDefault="00011638" w:rsidP="00011638">
      <w:pPr>
        <w:numPr>
          <w:ilvl w:val="0"/>
          <w:numId w:val="7"/>
        </w:numPr>
        <w:spacing w:before="0" w:after="0" w:line="259" w:lineRule="auto"/>
      </w:pPr>
      <w:r w:rsidRPr="003B5006">
        <w:t>Soborno por persona jurídica.</w:t>
      </w:r>
    </w:p>
    <w:p w14:paraId="23747AAD" w14:textId="77777777" w:rsidR="00011638" w:rsidRDefault="00011638" w:rsidP="00011638">
      <w:pPr>
        <w:numPr>
          <w:ilvl w:val="0"/>
          <w:numId w:val="7"/>
        </w:numPr>
        <w:spacing w:before="0" w:after="160" w:line="259" w:lineRule="auto"/>
      </w:pPr>
      <w:r w:rsidRPr="003B5006">
        <w:t>Negociación incompatible por persona jurídica.</w:t>
      </w:r>
    </w:p>
    <w:p w14:paraId="3D5F114E" w14:textId="73E8AB3B" w:rsidR="00011638" w:rsidRDefault="00C73888" w:rsidP="00B5142D">
      <w:pPr>
        <w:spacing w:before="0" w:after="160" w:line="259" w:lineRule="auto"/>
      </w:pPr>
      <w:r>
        <w:t xml:space="preserve">El Ministerio Público </w:t>
      </w:r>
      <w:r w:rsidR="00B5142D">
        <w:t>entregó</w:t>
      </w:r>
      <w:r>
        <w:t xml:space="preserve"> información de las causas finalizadas durante los últimos 5 años en este tipo de delitos</w:t>
      </w:r>
      <w:r w:rsidR="00B5142D">
        <w:t xml:space="preserve"> y el tipo de salida que tuvieron. En particular, e</w:t>
      </w:r>
      <w:r w:rsidR="00011638" w:rsidRPr="003B5006">
        <w:t>xisten 8.6</w:t>
      </w:r>
      <w:r w:rsidR="001A3115">
        <w:t>41</w:t>
      </w:r>
      <w:r w:rsidR="00011638" w:rsidRPr="003B5006">
        <w:t xml:space="preserve"> causas finalizadas entre el año 2018 y 2022</w:t>
      </w:r>
      <w:r w:rsidR="008C5D8C">
        <w:t>, con el siguiente tipo de salidas:</w:t>
      </w:r>
    </w:p>
    <w:tbl>
      <w:tblPr>
        <w:tblStyle w:val="TableGrid"/>
        <w:tblW w:w="9008" w:type="dxa"/>
        <w:tblLook w:val="04A0" w:firstRow="1" w:lastRow="0" w:firstColumn="1" w:lastColumn="0" w:noHBand="0" w:noVBand="1"/>
      </w:tblPr>
      <w:tblGrid>
        <w:gridCol w:w="7162"/>
        <w:gridCol w:w="1846"/>
      </w:tblGrid>
      <w:tr w:rsidR="00B03648" w:rsidRPr="008C5D8C" w14:paraId="281DB5B0" w14:textId="77777777" w:rsidTr="00B03648">
        <w:trPr>
          <w:trHeight w:val="313"/>
        </w:trPr>
        <w:tc>
          <w:tcPr>
            <w:tcW w:w="7162" w:type="dxa"/>
            <w:noWrap/>
          </w:tcPr>
          <w:p w14:paraId="4B1AAA0E" w14:textId="7C5E9C34" w:rsidR="00B03648" w:rsidRPr="00B03648" w:rsidRDefault="00B03648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0364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salida</w:t>
            </w:r>
          </w:p>
        </w:tc>
        <w:tc>
          <w:tcPr>
            <w:tcW w:w="1846" w:type="dxa"/>
            <w:noWrap/>
          </w:tcPr>
          <w:p w14:paraId="58FAC9D4" w14:textId="4880432E" w:rsidR="00B03648" w:rsidRPr="00B03648" w:rsidRDefault="00B03648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0364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Porcentaje</w:t>
            </w:r>
          </w:p>
        </w:tc>
      </w:tr>
      <w:tr w:rsidR="008C5D8C" w:rsidRPr="008C5D8C" w14:paraId="31D5D3A0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6BE149A9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ACUERDO REPARATORIO</w:t>
            </w:r>
          </w:p>
        </w:tc>
        <w:tc>
          <w:tcPr>
            <w:tcW w:w="1846" w:type="dxa"/>
            <w:noWrap/>
            <w:hideMark/>
          </w:tcPr>
          <w:p w14:paraId="25FB3966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0,60%</w:t>
            </w:r>
          </w:p>
        </w:tc>
      </w:tr>
      <w:tr w:rsidR="008C5D8C" w:rsidRPr="008C5D8C" w14:paraId="4716BF9F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7324653B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FACULTAD PARA NO INVESTIGAR</w:t>
            </w:r>
          </w:p>
        </w:tc>
        <w:tc>
          <w:tcPr>
            <w:tcW w:w="1846" w:type="dxa"/>
            <w:noWrap/>
            <w:hideMark/>
          </w:tcPr>
          <w:p w14:paraId="51C67F84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1,01%</w:t>
            </w:r>
          </w:p>
        </w:tc>
      </w:tr>
      <w:tr w:rsidR="008C5D8C" w:rsidRPr="008C5D8C" w14:paraId="109E98F9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4EC21A57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SENTENCIA DEFINITIVA ABSOLUTORIA</w:t>
            </w:r>
          </w:p>
        </w:tc>
        <w:tc>
          <w:tcPr>
            <w:tcW w:w="1846" w:type="dxa"/>
            <w:noWrap/>
            <w:hideMark/>
          </w:tcPr>
          <w:p w14:paraId="571D0D93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2,61%</w:t>
            </w:r>
          </w:p>
        </w:tc>
      </w:tr>
      <w:tr w:rsidR="008C5D8C" w:rsidRPr="008C5D8C" w14:paraId="47F0E01E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2F5F3065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SENTENCIA DEFINITIVA CONDENATORIA</w:t>
            </w:r>
          </w:p>
        </w:tc>
        <w:tc>
          <w:tcPr>
            <w:tcW w:w="1846" w:type="dxa"/>
            <w:noWrap/>
            <w:hideMark/>
          </w:tcPr>
          <w:p w14:paraId="62CF5B5D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27,93%</w:t>
            </w:r>
          </w:p>
        </w:tc>
      </w:tr>
      <w:tr w:rsidR="008C5D8C" w:rsidRPr="008C5D8C" w14:paraId="3DF48A2B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7ED2B6DC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SOBRESEIMIENTO DEFINITIVO</w:t>
            </w:r>
          </w:p>
        </w:tc>
        <w:tc>
          <w:tcPr>
            <w:tcW w:w="1846" w:type="dxa"/>
            <w:noWrap/>
            <w:hideMark/>
          </w:tcPr>
          <w:p w14:paraId="3CCDCB14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8,34%</w:t>
            </w:r>
          </w:p>
        </w:tc>
      </w:tr>
      <w:tr w:rsidR="008C5D8C" w:rsidRPr="008C5D8C" w14:paraId="663ADF41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69656D88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SOBRESEIMIENTO DEFINITIVO 240</w:t>
            </w:r>
          </w:p>
        </w:tc>
        <w:tc>
          <w:tcPr>
            <w:tcW w:w="1846" w:type="dxa"/>
            <w:noWrap/>
            <w:hideMark/>
          </w:tcPr>
          <w:p w14:paraId="5F980669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6,42%</w:t>
            </w:r>
          </w:p>
        </w:tc>
      </w:tr>
      <w:tr w:rsidR="008C5D8C" w:rsidRPr="008C5D8C" w14:paraId="455DCDB1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7B93BD24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SOBRESEIMIENTO TEMPORAL</w:t>
            </w:r>
          </w:p>
        </w:tc>
        <w:tc>
          <w:tcPr>
            <w:tcW w:w="1846" w:type="dxa"/>
            <w:noWrap/>
            <w:hideMark/>
          </w:tcPr>
          <w:p w14:paraId="47A5F967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1,78%</w:t>
            </w:r>
          </w:p>
        </w:tc>
      </w:tr>
      <w:tr w:rsidR="008C5D8C" w:rsidRPr="008C5D8C" w14:paraId="68167EBE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3AA8E102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SUSPENSIÓN CONDICIONAL DEL PROCEDIMIENTO</w:t>
            </w:r>
          </w:p>
        </w:tc>
        <w:tc>
          <w:tcPr>
            <w:tcW w:w="1846" w:type="dxa"/>
            <w:noWrap/>
            <w:hideMark/>
          </w:tcPr>
          <w:p w14:paraId="7D740CA8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7,28%</w:t>
            </w:r>
          </w:p>
        </w:tc>
      </w:tr>
      <w:tr w:rsidR="008C5D8C" w:rsidRPr="008C5D8C" w14:paraId="60C08BC1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388031E4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ARCHIVO PROVISIONAL</w:t>
            </w:r>
          </w:p>
        </w:tc>
        <w:tc>
          <w:tcPr>
            <w:tcW w:w="1846" w:type="dxa"/>
            <w:noWrap/>
            <w:hideMark/>
          </w:tcPr>
          <w:p w14:paraId="03F17274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24,85%</w:t>
            </w:r>
          </w:p>
        </w:tc>
      </w:tr>
      <w:tr w:rsidR="008C5D8C" w:rsidRPr="008C5D8C" w14:paraId="555D5A78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55BE4D1E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DECISIÓN DE NO PERSEVERAR</w:t>
            </w:r>
          </w:p>
        </w:tc>
        <w:tc>
          <w:tcPr>
            <w:tcW w:w="1846" w:type="dxa"/>
            <w:noWrap/>
            <w:hideMark/>
          </w:tcPr>
          <w:p w14:paraId="4B27EA89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19,00%</w:t>
            </w:r>
          </w:p>
        </w:tc>
      </w:tr>
      <w:tr w:rsidR="008C5D8C" w:rsidRPr="008C5D8C" w14:paraId="161BB111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79648495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INCOMPETENCIA</w:t>
            </w:r>
          </w:p>
        </w:tc>
        <w:tc>
          <w:tcPr>
            <w:tcW w:w="1846" w:type="dxa"/>
            <w:noWrap/>
            <w:hideMark/>
          </w:tcPr>
          <w:p w14:paraId="361D1E2F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0,11%</w:t>
            </w:r>
          </w:p>
        </w:tc>
      </w:tr>
      <w:tr w:rsidR="008C5D8C" w:rsidRPr="008C5D8C" w14:paraId="2F26DF6F" w14:textId="77777777" w:rsidTr="00B03648">
        <w:trPr>
          <w:trHeight w:val="313"/>
        </w:trPr>
        <w:tc>
          <w:tcPr>
            <w:tcW w:w="7162" w:type="dxa"/>
            <w:noWrap/>
            <w:hideMark/>
          </w:tcPr>
          <w:p w14:paraId="3F64914C" w14:textId="77777777" w:rsidR="008C5D8C" w:rsidRPr="008C5D8C" w:rsidRDefault="008C5D8C" w:rsidP="008C5D8C">
            <w:pPr>
              <w:spacing w:before="0"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PRINCIPIO DE OPORTUNIDAD</w:t>
            </w:r>
          </w:p>
        </w:tc>
        <w:tc>
          <w:tcPr>
            <w:tcW w:w="1846" w:type="dxa"/>
            <w:noWrap/>
            <w:hideMark/>
          </w:tcPr>
          <w:p w14:paraId="4044EC37" w14:textId="77777777" w:rsidR="008C5D8C" w:rsidRPr="008C5D8C" w:rsidRDefault="008C5D8C" w:rsidP="008C5D8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5D8C">
              <w:rPr>
                <w:rFonts w:ascii="Calibri" w:eastAsia="Times New Roman" w:hAnsi="Calibri" w:cs="Calibri"/>
                <w:color w:val="000000"/>
                <w:lang w:eastAsia="es-CL"/>
              </w:rPr>
              <w:t>0,08%</w:t>
            </w:r>
          </w:p>
        </w:tc>
      </w:tr>
    </w:tbl>
    <w:p w14:paraId="08E77ED7" w14:textId="77777777" w:rsidR="009911D8" w:rsidRDefault="009911D8" w:rsidP="00B5142D">
      <w:pPr>
        <w:spacing w:before="0" w:after="160" w:line="259" w:lineRule="auto"/>
      </w:pPr>
    </w:p>
    <w:p w14:paraId="7923C59C" w14:textId="1938293F" w:rsidR="00B03648" w:rsidRDefault="00B03648" w:rsidP="00B5142D">
      <w:pPr>
        <w:spacing w:before="0" w:after="160" w:line="259" w:lineRule="auto"/>
      </w:pPr>
      <w:r>
        <w:t xml:space="preserve">Como se puede apreciar, el porcentaje de </w:t>
      </w:r>
      <w:r w:rsidR="000D2E8C">
        <w:t>salidas que tuvieron sentencia</w:t>
      </w:r>
      <w:r w:rsidR="00295C65">
        <w:t>s</w:t>
      </w:r>
      <w:r w:rsidR="000D2E8C">
        <w:t xml:space="preserve"> condenatorias para este tipo de delitos </w:t>
      </w:r>
      <w:r w:rsidR="00295C65">
        <w:t>corresponde al 27,9%</w:t>
      </w:r>
      <w:r w:rsidR="009911D8">
        <w:t xml:space="preserve">. </w:t>
      </w:r>
    </w:p>
    <w:p w14:paraId="16B29CC3" w14:textId="71742CED" w:rsidR="009911D8" w:rsidRDefault="009911D8" w:rsidP="00B5142D">
      <w:pPr>
        <w:spacing w:before="0" w:after="160" w:line="259" w:lineRule="auto"/>
      </w:pPr>
      <w:r>
        <w:t xml:space="preserve">Según el tipo de delito específico, este </w:t>
      </w:r>
      <w:r w:rsidR="00153BB5">
        <w:t xml:space="preserve">llega a </w:t>
      </w:r>
      <w:r w:rsidR="008E5819">
        <w:t>43</w:t>
      </w:r>
      <w:r w:rsidR="00153BB5">
        <w:t xml:space="preserve">% para el delito de </w:t>
      </w:r>
      <w:r w:rsidR="00724946">
        <w:t xml:space="preserve">soborno por persona jurídica: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6165"/>
        <w:gridCol w:w="2477"/>
      </w:tblGrid>
      <w:tr w:rsidR="00724946" w:rsidRPr="00B12950" w14:paraId="7D2E70CB" w14:textId="77777777" w:rsidTr="1D6B9515">
        <w:trPr>
          <w:trHeight w:val="300"/>
        </w:trPr>
        <w:tc>
          <w:tcPr>
            <w:tcW w:w="6165" w:type="dxa"/>
            <w:noWrap/>
          </w:tcPr>
          <w:p w14:paraId="0DADE8F2" w14:textId="53ECDCD9" w:rsidR="00724946" w:rsidRPr="00840534" w:rsidRDefault="00840534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4053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delito</w:t>
            </w:r>
          </w:p>
        </w:tc>
        <w:tc>
          <w:tcPr>
            <w:tcW w:w="2477" w:type="dxa"/>
            <w:noWrap/>
          </w:tcPr>
          <w:p w14:paraId="63CE520C" w14:textId="00EEA77C" w:rsidR="00724946" w:rsidRPr="00840534" w:rsidRDefault="00840534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4053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Porcentaje de sentencia definitiva condenatoria</w:t>
            </w:r>
          </w:p>
        </w:tc>
      </w:tr>
      <w:tr w:rsidR="00B12950" w:rsidRPr="00B12950" w14:paraId="264D6680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1537CA92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COHECHO COMETIDO POR EMPLEADO PÚBLICO ART 248, 248 BIS Y 249</w:t>
            </w:r>
          </w:p>
        </w:tc>
        <w:tc>
          <w:tcPr>
            <w:tcW w:w="2477" w:type="dxa"/>
            <w:noWrap/>
            <w:hideMark/>
          </w:tcPr>
          <w:p w14:paraId="1862EDE7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33,33%</w:t>
            </w:r>
          </w:p>
        </w:tc>
      </w:tr>
      <w:tr w:rsidR="00B12950" w:rsidRPr="00B12950" w14:paraId="528DED08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0261FD18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COHECHO O SOBORNO COMETIDO POR PARTICULAR. ART. 250</w:t>
            </w:r>
          </w:p>
        </w:tc>
        <w:tc>
          <w:tcPr>
            <w:tcW w:w="2477" w:type="dxa"/>
            <w:noWrap/>
            <w:hideMark/>
          </w:tcPr>
          <w:p w14:paraId="043724DD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36,86%</w:t>
            </w:r>
          </w:p>
        </w:tc>
      </w:tr>
      <w:tr w:rsidR="00B12950" w:rsidRPr="00B12950" w14:paraId="42BD8F53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29CB25F6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ENRIQUECIMIENTO ILÍCITO. ART. 241 BIS.</w:t>
            </w:r>
          </w:p>
        </w:tc>
        <w:tc>
          <w:tcPr>
            <w:tcW w:w="2477" w:type="dxa"/>
            <w:noWrap/>
            <w:hideMark/>
          </w:tcPr>
          <w:p w14:paraId="717C25A8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13,33%</w:t>
            </w:r>
          </w:p>
        </w:tc>
      </w:tr>
      <w:tr w:rsidR="00B12950" w:rsidRPr="00B12950" w14:paraId="72A1DA92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7D302F33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FRAUDES AL FISCO Y ORGANISMOS DEL ESTADO. ART.239</w:t>
            </w:r>
          </w:p>
        </w:tc>
        <w:tc>
          <w:tcPr>
            <w:tcW w:w="2477" w:type="dxa"/>
            <w:noWrap/>
            <w:hideMark/>
          </w:tcPr>
          <w:p w14:paraId="3C8FC5BE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19,99%</w:t>
            </w:r>
          </w:p>
        </w:tc>
      </w:tr>
      <w:tr w:rsidR="00B12950" w:rsidRPr="00B12950" w14:paraId="1F913D84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464AF6FE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MALVERSACION DE CAUDALES PUBLICOS. ARTS 233, 234, 235 y 236</w:t>
            </w:r>
          </w:p>
        </w:tc>
        <w:tc>
          <w:tcPr>
            <w:tcW w:w="2477" w:type="dxa"/>
            <w:noWrap/>
            <w:hideMark/>
          </w:tcPr>
          <w:p w14:paraId="44F2541A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23,41%</w:t>
            </w:r>
          </w:p>
        </w:tc>
      </w:tr>
      <w:tr w:rsidR="00B12950" w:rsidRPr="00B12950" w14:paraId="53CB7469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21F1C327" w14:textId="3C3A0488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D6B951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NEGOCIACIÓN INCOMPATIBLE POR PERSONA JURÍDICA ART 240</w:t>
            </w:r>
          </w:p>
        </w:tc>
        <w:tc>
          <w:tcPr>
            <w:tcW w:w="2477" w:type="dxa"/>
            <w:noWrap/>
            <w:hideMark/>
          </w:tcPr>
          <w:p w14:paraId="52D86C9C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12,50%</w:t>
            </w:r>
          </w:p>
        </w:tc>
      </w:tr>
      <w:tr w:rsidR="00B12950" w:rsidRPr="00B12950" w14:paraId="635D1E7B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3F3DD4E2" w14:textId="77777777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NEGOCIACIÓN INCOMPATIBLE. ART. 240.</w:t>
            </w:r>
          </w:p>
        </w:tc>
        <w:tc>
          <w:tcPr>
            <w:tcW w:w="2477" w:type="dxa"/>
            <w:noWrap/>
            <w:hideMark/>
          </w:tcPr>
          <w:p w14:paraId="421CBBCA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3,92%</w:t>
            </w:r>
          </w:p>
        </w:tc>
      </w:tr>
      <w:tr w:rsidR="00B12950" w:rsidRPr="00B12950" w14:paraId="2AC606B7" w14:textId="77777777" w:rsidTr="1D6B9515">
        <w:trPr>
          <w:trHeight w:val="300"/>
        </w:trPr>
        <w:tc>
          <w:tcPr>
            <w:tcW w:w="6165" w:type="dxa"/>
            <w:noWrap/>
            <w:hideMark/>
          </w:tcPr>
          <w:p w14:paraId="06673652" w14:textId="00DC0803" w:rsidR="00B12950" w:rsidRPr="00B12950" w:rsidRDefault="00B12950" w:rsidP="00B1295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D6B951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SOBORNO.ART. 250. PERSONA JURIDICA</w:t>
            </w:r>
          </w:p>
        </w:tc>
        <w:tc>
          <w:tcPr>
            <w:tcW w:w="2477" w:type="dxa"/>
            <w:noWrap/>
            <w:hideMark/>
          </w:tcPr>
          <w:p w14:paraId="409B8EE7" w14:textId="77777777" w:rsidR="00B12950" w:rsidRPr="00B12950" w:rsidRDefault="00B12950" w:rsidP="00B1295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12950">
              <w:rPr>
                <w:rFonts w:ascii="Calibri" w:eastAsia="Times New Roman" w:hAnsi="Calibri" w:cs="Calibri"/>
                <w:color w:val="000000"/>
                <w:lang w:eastAsia="es-CL"/>
              </w:rPr>
              <w:t>43,10%</w:t>
            </w:r>
          </w:p>
        </w:tc>
      </w:tr>
    </w:tbl>
    <w:p w14:paraId="77025F14" w14:textId="77777777" w:rsidR="00B12950" w:rsidRPr="003B5006" w:rsidRDefault="00B12950" w:rsidP="00B5142D">
      <w:pPr>
        <w:spacing w:before="0" w:after="160" w:line="259" w:lineRule="auto"/>
      </w:pPr>
    </w:p>
    <w:p w14:paraId="37FAB001" w14:textId="5286CD68" w:rsidR="001D0BCD" w:rsidRPr="002F3F6C" w:rsidRDefault="001D0BCD" w:rsidP="00FF17BA"/>
    <w:sectPr w:rsidR="001D0BCD" w:rsidRPr="002F3F6C" w:rsidSect="005531A5"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A82A" w14:textId="77777777" w:rsidR="005531A5" w:rsidRDefault="005531A5" w:rsidP="00330C98">
      <w:pPr>
        <w:spacing w:before="0" w:after="0" w:line="240" w:lineRule="auto"/>
      </w:pPr>
      <w:r>
        <w:separator/>
      </w:r>
    </w:p>
  </w:endnote>
  <w:endnote w:type="continuationSeparator" w:id="0">
    <w:p w14:paraId="1A38BB68" w14:textId="77777777" w:rsidR="005531A5" w:rsidRDefault="005531A5" w:rsidP="00330C98">
      <w:pPr>
        <w:spacing w:before="0" w:after="0" w:line="240" w:lineRule="auto"/>
      </w:pPr>
      <w:r>
        <w:continuationSeparator/>
      </w:r>
    </w:p>
  </w:endnote>
  <w:endnote w:type="continuationNotice" w:id="1">
    <w:p w14:paraId="25A4A3F3" w14:textId="77777777" w:rsidR="005531A5" w:rsidRDefault="005531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879821"/>
      <w:docPartObj>
        <w:docPartGallery w:val="Page Numbers (Bottom of Page)"/>
        <w:docPartUnique/>
      </w:docPartObj>
    </w:sdtPr>
    <w:sdtEndPr/>
    <w:sdtContent>
      <w:p w14:paraId="47ABA0B6" w14:textId="77777777" w:rsidR="0096083E" w:rsidRDefault="009608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413DDC" w14:textId="77777777" w:rsidR="0096083E" w:rsidRDefault="00960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EndPr/>
    <w:sdtContent>
      <w:p w14:paraId="03B5E156" w14:textId="77777777" w:rsidR="00330C98" w:rsidRDefault="00330C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9242B5" w14:textId="77777777" w:rsidR="00330C98" w:rsidRDefault="0033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463D" w14:textId="77777777" w:rsidR="005531A5" w:rsidRDefault="005531A5" w:rsidP="00330C98">
      <w:pPr>
        <w:spacing w:before="0" w:after="0" w:line="240" w:lineRule="auto"/>
      </w:pPr>
      <w:r>
        <w:separator/>
      </w:r>
    </w:p>
  </w:footnote>
  <w:footnote w:type="continuationSeparator" w:id="0">
    <w:p w14:paraId="2982E85F" w14:textId="77777777" w:rsidR="005531A5" w:rsidRDefault="005531A5" w:rsidP="00330C98">
      <w:pPr>
        <w:spacing w:before="0" w:after="0" w:line="240" w:lineRule="auto"/>
      </w:pPr>
      <w:r>
        <w:continuationSeparator/>
      </w:r>
    </w:p>
  </w:footnote>
  <w:footnote w:type="continuationNotice" w:id="1">
    <w:p w14:paraId="4BE12FEA" w14:textId="77777777" w:rsidR="005531A5" w:rsidRDefault="005531A5">
      <w:pPr>
        <w:spacing w:before="0" w:after="0" w:line="240" w:lineRule="auto"/>
      </w:pPr>
    </w:p>
  </w:footnote>
  <w:footnote w:id="2">
    <w:p w14:paraId="734D190B" w14:textId="48D520A6" w:rsidR="005C5241" w:rsidRDefault="005C52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61C6" w:rsidRPr="009961C6">
        <w:t>https://observatoriojudicial.org/wp-content/uploads/2023/11/Informe-60-Persecucion-de-la-corrupcion.pdf</w:t>
      </w:r>
    </w:p>
  </w:footnote>
  <w:footnote w:id="3">
    <w:p w14:paraId="167CFEEE" w14:textId="4699B725" w:rsidR="00792A04" w:rsidRDefault="00792A04">
      <w:pPr>
        <w:pStyle w:val="FootnoteText"/>
      </w:pPr>
      <w:r>
        <w:rPr>
          <w:rStyle w:val="FootnoteReference"/>
        </w:rPr>
        <w:footnoteRef/>
      </w:r>
      <w:r>
        <w:t xml:space="preserve"> Datos extraídos de: </w:t>
      </w:r>
      <w:r w:rsidRPr="00792A04">
        <w:t>http://www.fiscaliadechile.cl/Fiscalia/estadisticas/index.do</w:t>
      </w:r>
    </w:p>
  </w:footnote>
  <w:footnote w:id="4">
    <w:p w14:paraId="0977E0D2" w14:textId="59AB40E9" w:rsidR="002B65D4" w:rsidRDefault="002B65D4">
      <w:pPr>
        <w:pStyle w:val="FootnoteText"/>
      </w:pPr>
      <w:r>
        <w:rPr>
          <w:rStyle w:val="FootnoteReference"/>
        </w:rPr>
        <w:footnoteRef/>
      </w:r>
      <w:r>
        <w:t xml:space="preserve"> Para todos los cálculos, tanto de porcentajes como de números absolutos, se excluye la categoría “otros términos” del tipo de salidas.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224C"/>
    <w:multiLevelType w:val="hybridMultilevel"/>
    <w:tmpl w:val="F30E2418"/>
    <w:lvl w:ilvl="0" w:tplc="176E53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44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61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09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5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2D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26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B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6E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18"/>
    <w:multiLevelType w:val="hybridMultilevel"/>
    <w:tmpl w:val="17F67F20"/>
    <w:lvl w:ilvl="0" w:tplc="61988104">
      <w:start w:val="1"/>
      <w:numFmt w:val="lowerLetter"/>
      <w:pStyle w:val="Title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5CAC"/>
    <w:multiLevelType w:val="hybridMultilevel"/>
    <w:tmpl w:val="AB681FD6"/>
    <w:lvl w:ilvl="0" w:tplc="AE0232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4140"/>
    <w:multiLevelType w:val="hybridMultilevel"/>
    <w:tmpl w:val="7EC4BB02"/>
    <w:lvl w:ilvl="0" w:tplc="C6B6F148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573F"/>
    <w:multiLevelType w:val="hybridMultilevel"/>
    <w:tmpl w:val="0A68919C"/>
    <w:lvl w:ilvl="0" w:tplc="7AC452A4">
      <w:start w:val="1"/>
      <w:numFmt w:val="lowerRoman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DE6"/>
    <w:multiLevelType w:val="hybridMultilevel"/>
    <w:tmpl w:val="56DA7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138E"/>
    <w:multiLevelType w:val="hybridMultilevel"/>
    <w:tmpl w:val="E5742F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6861"/>
    <w:multiLevelType w:val="hybridMultilevel"/>
    <w:tmpl w:val="E118185E"/>
    <w:lvl w:ilvl="0" w:tplc="4B44C16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5794"/>
    <w:multiLevelType w:val="hybridMultilevel"/>
    <w:tmpl w:val="5E90354E"/>
    <w:lvl w:ilvl="0" w:tplc="5B8C9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587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E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E1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3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0E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A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EA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A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22951"/>
    <w:multiLevelType w:val="hybridMultilevel"/>
    <w:tmpl w:val="D4E4DDB8"/>
    <w:lvl w:ilvl="0" w:tplc="70387F76">
      <w:start w:val="1"/>
      <w:numFmt w:val="decimal"/>
      <w:pStyle w:val="Heading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9049">
    <w:abstractNumId w:val="8"/>
  </w:num>
  <w:num w:numId="2" w16cid:durableId="1029989756">
    <w:abstractNumId w:val="0"/>
  </w:num>
  <w:num w:numId="3" w16cid:durableId="673924070">
    <w:abstractNumId w:val="3"/>
  </w:num>
  <w:num w:numId="4" w16cid:durableId="141194157">
    <w:abstractNumId w:val="9"/>
  </w:num>
  <w:num w:numId="5" w16cid:durableId="2143888583">
    <w:abstractNumId w:val="1"/>
  </w:num>
  <w:num w:numId="6" w16cid:durableId="429546539">
    <w:abstractNumId w:val="4"/>
  </w:num>
  <w:num w:numId="7" w16cid:durableId="1097674721">
    <w:abstractNumId w:val="2"/>
  </w:num>
  <w:num w:numId="8" w16cid:durableId="1030186531">
    <w:abstractNumId w:val="5"/>
  </w:num>
  <w:num w:numId="9" w16cid:durableId="1330210977">
    <w:abstractNumId w:val="7"/>
    <w:lvlOverride w:ilvl="0">
      <w:startOverride w:val="1"/>
    </w:lvlOverride>
  </w:num>
  <w:num w:numId="10" w16cid:durableId="198142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EC"/>
    <w:rsid w:val="00011638"/>
    <w:rsid w:val="00020E0A"/>
    <w:rsid w:val="000367F1"/>
    <w:rsid w:val="000510E7"/>
    <w:rsid w:val="000D2E8C"/>
    <w:rsid w:val="000D70B7"/>
    <w:rsid w:val="00105D7B"/>
    <w:rsid w:val="001100A3"/>
    <w:rsid w:val="00113310"/>
    <w:rsid w:val="00153BB5"/>
    <w:rsid w:val="00154E05"/>
    <w:rsid w:val="001A3115"/>
    <w:rsid w:val="001A3647"/>
    <w:rsid w:val="001D0BCD"/>
    <w:rsid w:val="001D1DA7"/>
    <w:rsid w:val="001D2DDC"/>
    <w:rsid w:val="001D3067"/>
    <w:rsid w:val="001F671C"/>
    <w:rsid w:val="0024082C"/>
    <w:rsid w:val="00251EC6"/>
    <w:rsid w:val="002544A4"/>
    <w:rsid w:val="002823EC"/>
    <w:rsid w:val="00295C65"/>
    <w:rsid w:val="002B65D4"/>
    <w:rsid w:val="002D5724"/>
    <w:rsid w:val="002F3C5C"/>
    <w:rsid w:val="002F3F6C"/>
    <w:rsid w:val="0030759A"/>
    <w:rsid w:val="00330C98"/>
    <w:rsid w:val="003376F4"/>
    <w:rsid w:val="003472FE"/>
    <w:rsid w:val="00350F7E"/>
    <w:rsid w:val="0036758F"/>
    <w:rsid w:val="00387036"/>
    <w:rsid w:val="003B3B82"/>
    <w:rsid w:val="003B68CC"/>
    <w:rsid w:val="003D2994"/>
    <w:rsid w:val="003D3658"/>
    <w:rsid w:val="003E1F04"/>
    <w:rsid w:val="00410D8C"/>
    <w:rsid w:val="0041482C"/>
    <w:rsid w:val="0042703B"/>
    <w:rsid w:val="00496C41"/>
    <w:rsid w:val="00534328"/>
    <w:rsid w:val="005531A5"/>
    <w:rsid w:val="00580B7B"/>
    <w:rsid w:val="005C0C71"/>
    <w:rsid w:val="005C5241"/>
    <w:rsid w:val="005C697F"/>
    <w:rsid w:val="005F19DF"/>
    <w:rsid w:val="006656CF"/>
    <w:rsid w:val="006B144E"/>
    <w:rsid w:val="006B52C5"/>
    <w:rsid w:val="006C7DCA"/>
    <w:rsid w:val="006E12E3"/>
    <w:rsid w:val="006E73BA"/>
    <w:rsid w:val="006F2FFE"/>
    <w:rsid w:val="00724946"/>
    <w:rsid w:val="00753305"/>
    <w:rsid w:val="00772115"/>
    <w:rsid w:val="007848F9"/>
    <w:rsid w:val="00792A04"/>
    <w:rsid w:val="007B12CD"/>
    <w:rsid w:val="007B3C64"/>
    <w:rsid w:val="00834C1C"/>
    <w:rsid w:val="00834F8A"/>
    <w:rsid w:val="008356B3"/>
    <w:rsid w:val="00840534"/>
    <w:rsid w:val="00846171"/>
    <w:rsid w:val="0086467C"/>
    <w:rsid w:val="00891871"/>
    <w:rsid w:val="008C5D8C"/>
    <w:rsid w:val="008E3C3A"/>
    <w:rsid w:val="008E5819"/>
    <w:rsid w:val="008F4D58"/>
    <w:rsid w:val="00950494"/>
    <w:rsid w:val="0096083E"/>
    <w:rsid w:val="009911D8"/>
    <w:rsid w:val="009961C6"/>
    <w:rsid w:val="009C0540"/>
    <w:rsid w:val="00A745A8"/>
    <w:rsid w:val="00A760DC"/>
    <w:rsid w:val="00A76B37"/>
    <w:rsid w:val="00A875C7"/>
    <w:rsid w:val="00AD1EE9"/>
    <w:rsid w:val="00AF76CE"/>
    <w:rsid w:val="00B03648"/>
    <w:rsid w:val="00B05C42"/>
    <w:rsid w:val="00B12950"/>
    <w:rsid w:val="00B22B0E"/>
    <w:rsid w:val="00B25901"/>
    <w:rsid w:val="00B4439F"/>
    <w:rsid w:val="00B5142D"/>
    <w:rsid w:val="00B90FA4"/>
    <w:rsid w:val="00B93CA4"/>
    <w:rsid w:val="00BA224B"/>
    <w:rsid w:val="00BE056E"/>
    <w:rsid w:val="00C07561"/>
    <w:rsid w:val="00C71B24"/>
    <w:rsid w:val="00C73888"/>
    <w:rsid w:val="00C90D2F"/>
    <w:rsid w:val="00D04CB4"/>
    <w:rsid w:val="00D13501"/>
    <w:rsid w:val="00D60D6D"/>
    <w:rsid w:val="00D96699"/>
    <w:rsid w:val="00DA090E"/>
    <w:rsid w:val="00DB1CF8"/>
    <w:rsid w:val="00DB69D1"/>
    <w:rsid w:val="00E20265"/>
    <w:rsid w:val="00E318CE"/>
    <w:rsid w:val="00E37DE4"/>
    <w:rsid w:val="00F019A6"/>
    <w:rsid w:val="00F027F6"/>
    <w:rsid w:val="00F0756F"/>
    <w:rsid w:val="00F53F6D"/>
    <w:rsid w:val="00F85049"/>
    <w:rsid w:val="00F976A7"/>
    <w:rsid w:val="00FB5EC8"/>
    <w:rsid w:val="00FD64C5"/>
    <w:rsid w:val="00FE5F14"/>
    <w:rsid w:val="00FF17BA"/>
    <w:rsid w:val="00FF411F"/>
    <w:rsid w:val="103D1057"/>
    <w:rsid w:val="1D6B9515"/>
    <w:rsid w:val="2F57AD8F"/>
    <w:rsid w:val="32650803"/>
    <w:rsid w:val="43EEEEC5"/>
    <w:rsid w:val="44F98C5D"/>
    <w:rsid w:val="4A5BF99E"/>
    <w:rsid w:val="508EFB07"/>
    <w:rsid w:val="52BB6F8C"/>
    <w:rsid w:val="59040696"/>
    <w:rsid w:val="60C2761F"/>
    <w:rsid w:val="6AF63EFA"/>
    <w:rsid w:val="70704F0C"/>
    <w:rsid w:val="7980A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210B"/>
  <w15:chartTrackingRefBased/>
  <w15:docId w15:val="{76D35E55-39C4-4B48-9850-21530DD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3067"/>
    <w:pPr>
      <w:keepNext/>
      <w:keepLines/>
      <w:numPr>
        <w:numId w:val="3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3067"/>
    <w:pPr>
      <w:keepNext/>
      <w:keepLines/>
      <w:numPr>
        <w:numId w:val="4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Title"/>
    <w:next w:val="Normal"/>
    <w:link w:val="Heading3Ch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3067"/>
    <w:pPr>
      <w:keepNext/>
      <w:keepLines/>
      <w:numPr>
        <w:numId w:val="6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67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F53F6D"/>
    <w:pPr>
      <w:numPr>
        <w:numId w:val="5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NoSpacing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Header">
    <w:name w:val="header"/>
    <w:basedOn w:val="Normal"/>
    <w:link w:val="HeaderCh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98"/>
    <w:rPr>
      <w:rFonts w:ascii="Arial" w:hAnsi="Arial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524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24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tiz\OneDrive%20-%20Ministerio%20Secretar&#237;a%20General%20de%20la%20Presidencia\Documentos\Plantillas%20personalizadas%20de%20Office\Plantilla%20minuta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6" ma:contentTypeDescription="Crear nuevo documento." ma:contentTypeScope="" ma:versionID="35879bd77dac27ab3a04274525a8db94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cbe07aadc82e1421cfa71e9bc48f37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2726F-5EF0-4A83-8317-2CD4A5CDF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7B505-B83D-4D13-8781-4DAB9CBA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4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2023.dotx</Template>
  <TotalTime>324</TotalTime>
  <Pages>1</Pages>
  <Words>1445</Words>
  <Characters>8238</Characters>
  <Application>Microsoft Office Word</Application>
  <DocSecurity>4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Horacio Ortiz Miranda</dc:creator>
  <cp:keywords/>
  <dc:description/>
  <cp:lastModifiedBy>Gabriel Horacio Ortiz Miranda</cp:lastModifiedBy>
  <cp:revision>95</cp:revision>
  <cp:lastPrinted>2024-02-28T18:28:00Z</cp:lastPrinted>
  <dcterms:created xsi:type="dcterms:W3CDTF">2024-02-17T01:37:00Z</dcterms:created>
  <dcterms:modified xsi:type="dcterms:W3CDTF">2024-02-28T20:10:00Z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